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E5021" w14:textId="170A5AD3" w:rsidR="0012388D" w:rsidRDefault="00772BDC" w:rsidP="00CA5734">
      <w:pPr>
        <w:rPr>
          <w:rFonts w:cs="Arial"/>
        </w:rPr>
      </w:pPr>
      <w:r>
        <w:rPr>
          <w:rFonts w:cs="Arial"/>
          <w:noProof/>
          <w:lang w:eastAsia="en-GB" w:bidi="ar-SA"/>
        </w:rPr>
        <w:drawing>
          <wp:inline distT="0" distB="0" distL="0" distR="0" wp14:anchorId="087CD933" wp14:editId="034B016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E14C892" w14:textId="77777777" w:rsidR="00A671E6" w:rsidRPr="00A671E6" w:rsidRDefault="00A671E6" w:rsidP="00A671E6">
      <w:pPr>
        <w:rPr>
          <w:color w:val="FF0000"/>
        </w:rPr>
      </w:pPr>
    </w:p>
    <w:p w14:paraId="0E5F66ED" w14:textId="0D7A3251" w:rsidR="00A671E6" w:rsidRPr="000A3D16" w:rsidRDefault="000A3D16" w:rsidP="00A671E6">
      <w:pPr>
        <w:rPr>
          <w:b/>
          <w:sz w:val="28"/>
          <w:szCs w:val="28"/>
        </w:rPr>
      </w:pPr>
      <w:r w:rsidRPr="000A3D16">
        <w:rPr>
          <w:b/>
          <w:sz w:val="28"/>
          <w:szCs w:val="28"/>
        </w:rPr>
        <w:t>21</w:t>
      </w:r>
      <w:r w:rsidR="00A671E6" w:rsidRPr="000A3D16">
        <w:rPr>
          <w:b/>
          <w:sz w:val="28"/>
          <w:szCs w:val="28"/>
        </w:rPr>
        <w:t xml:space="preserve"> </w:t>
      </w:r>
      <w:r w:rsidRPr="000A3D16">
        <w:rPr>
          <w:b/>
          <w:sz w:val="28"/>
          <w:szCs w:val="28"/>
        </w:rPr>
        <w:t xml:space="preserve">August </w:t>
      </w:r>
      <w:r w:rsidR="00A66FDD" w:rsidRPr="000A3D16">
        <w:rPr>
          <w:b/>
          <w:sz w:val="28"/>
          <w:szCs w:val="28"/>
        </w:rPr>
        <w:t>201</w:t>
      </w:r>
      <w:r w:rsidR="00FD43DC" w:rsidRPr="000A3D16">
        <w:rPr>
          <w:b/>
          <w:sz w:val="28"/>
          <w:szCs w:val="28"/>
        </w:rPr>
        <w:t>7</w:t>
      </w:r>
    </w:p>
    <w:p w14:paraId="7CFC5C6C" w14:textId="0802B683" w:rsidR="00A671E6" w:rsidRPr="000A3D16" w:rsidRDefault="00A671E6" w:rsidP="00A671E6">
      <w:pPr>
        <w:rPr>
          <w:b/>
          <w:sz w:val="28"/>
          <w:szCs w:val="28"/>
        </w:rPr>
      </w:pPr>
      <w:r w:rsidRPr="000A3D16">
        <w:rPr>
          <w:b/>
          <w:sz w:val="28"/>
          <w:szCs w:val="28"/>
        </w:rPr>
        <w:t>[</w:t>
      </w:r>
      <w:r w:rsidR="000A3D16" w:rsidRPr="000A3D16">
        <w:rPr>
          <w:b/>
          <w:sz w:val="28"/>
          <w:szCs w:val="28"/>
        </w:rPr>
        <w:t>22</w:t>
      </w:r>
      <w:r w:rsidR="00831154" w:rsidRPr="000A3D16">
        <w:rPr>
          <w:b/>
          <w:sz w:val="28"/>
          <w:szCs w:val="28"/>
        </w:rPr>
        <w:t>-1</w:t>
      </w:r>
      <w:r w:rsidR="000A3D16" w:rsidRPr="000A3D16">
        <w:rPr>
          <w:b/>
          <w:sz w:val="28"/>
          <w:szCs w:val="28"/>
        </w:rPr>
        <w:t>7</w:t>
      </w:r>
      <w:r w:rsidRPr="000A3D16">
        <w:rPr>
          <w:b/>
          <w:sz w:val="28"/>
          <w:szCs w:val="28"/>
        </w:rPr>
        <w:t>]</w:t>
      </w:r>
    </w:p>
    <w:p w14:paraId="7872A2A0" w14:textId="77777777" w:rsidR="00A671E6" w:rsidRPr="00A671E6" w:rsidRDefault="00A671E6" w:rsidP="00A671E6"/>
    <w:p w14:paraId="60D5DD04" w14:textId="77777777" w:rsidR="0012388D" w:rsidRPr="00377DB5" w:rsidRDefault="00B425AA" w:rsidP="00B425AA">
      <w:pPr>
        <w:pStyle w:val="FSTitle"/>
      </w:pPr>
      <w:r w:rsidRPr="00377DB5">
        <w:t>A</w:t>
      </w:r>
      <w:r w:rsidR="00DD265C" w:rsidRPr="00377DB5">
        <w:t>pproval</w:t>
      </w:r>
      <w:r w:rsidRPr="00377DB5">
        <w:t xml:space="preserve"> </w:t>
      </w:r>
      <w:r w:rsidR="00B77C18" w:rsidRPr="00377DB5">
        <w:t>r</w:t>
      </w:r>
      <w:r w:rsidR="00DD265C" w:rsidRPr="00377DB5">
        <w:t>eport</w:t>
      </w:r>
      <w:r w:rsidRPr="00377DB5">
        <w:t xml:space="preserve"> – </w:t>
      </w:r>
      <w:r w:rsidR="00EB6590" w:rsidRPr="005D5D83">
        <w:t>A</w:t>
      </w:r>
      <w:r w:rsidR="00DD265C" w:rsidRPr="005D5D83">
        <w:t>pplication</w:t>
      </w:r>
      <w:r w:rsidR="00CA5734" w:rsidRPr="005D5D83">
        <w:t xml:space="preserve"> </w:t>
      </w:r>
      <w:r w:rsidR="00D15A08" w:rsidRPr="005D5D83">
        <w:t>A</w:t>
      </w:r>
      <w:r w:rsidR="006F0DBF" w:rsidRPr="005D5D83">
        <w:t>1127</w:t>
      </w:r>
    </w:p>
    <w:p w14:paraId="078CDD44" w14:textId="77777777" w:rsidR="003A7B84" w:rsidRPr="00CA5734" w:rsidRDefault="003A7B84" w:rsidP="00A671E6"/>
    <w:p w14:paraId="42112204" w14:textId="1989D8FB" w:rsidR="0012388D" w:rsidRPr="00FD43DC" w:rsidRDefault="00377DB5" w:rsidP="00B425AA">
      <w:pPr>
        <w:pStyle w:val="FSTitle"/>
      </w:pPr>
      <w:r w:rsidRPr="00E54BD8">
        <w:t>Processing Aids in Wine</w:t>
      </w:r>
    </w:p>
    <w:p w14:paraId="2652C2A7" w14:textId="77777777" w:rsidR="003A7B84" w:rsidRPr="00E327A6" w:rsidRDefault="003A7B84" w:rsidP="00871116">
      <w:pPr>
        <w:pBdr>
          <w:bottom w:val="single" w:sz="12" w:space="1" w:color="auto"/>
        </w:pBdr>
        <w:tabs>
          <w:tab w:val="left" w:pos="1140"/>
        </w:tabs>
        <w:rPr>
          <w:rFonts w:cs="Arial"/>
          <w:bCs/>
        </w:rPr>
      </w:pPr>
    </w:p>
    <w:p w14:paraId="50025A48" w14:textId="77777777" w:rsidR="003A7B84" w:rsidRPr="00E327A6" w:rsidRDefault="003A7B84" w:rsidP="003A7B84"/>
    <w:p w14:paraId="054E5F4A" w14:textId="49E0F796" w:rsidR="00EB6590" w:rsidRDefault="000F3CFE" w:rsidP="00CA5734">
      <w:r>
        <w:t xml:space="preserve">Food Standards Australia New </w:t>
      </w:r>
      <w:r w:rsidRPr="00FD43DC">
        <w:t>Zealand (FSANZ) has</w:t>
      </w:r>
      <w:r w:rsidR="00081B0A" w:rsidRPr="00FD43DC">
        <w:t xml:space="preserve"> assessed </w:t>
      </w:r>
      <w:r w:rsidR="00081B0A" w:rsidRPr="00E54BD8">
        <w:t>an application</w:t>
      </w:r>
      <w:r w:rsidR="00CA5734" w:rsidRPr="00E54BD8">
        <w:t xml:space="preserve"> </w:t>
      </w:r>
      <w:r w:rsidR="00081B0A" w:rsidRPr="00E54BD8">
        <w:t xml:space="preserve">made by </w:t>
      </w:r>
      <w:r w:rsidR="00377DB5" w:rsidRPr="00FD43DC">
        <w:rPr>
          <w:lang w:bidi="ar-SA"/>
        </w:rPr>
        <w:t xml:space="preserve">The Winemakers’ Federation of Australia </w:t>
      </w:r>
      <w:r w:rsidR="00377DB5" w:rsidRPr="00E54BD8">
        <w:t>to seek permission for the use of silver chloride, ammonium bisulphite, chitin-glucan and PVI/PVP as processing aids for wine.</w:t>
      </w:r>
    </w:p>
    <w:p w14:paraId="2AAA5946" w14:textId="77777777" w:rsidR="00CA5734" w:rsidRDefault="00CA5734" w:rsidP="00CA5734"/>
    <w:p w14:paraId="642F9F87" w14:textId="398A5448" w:rsidR="00081B0A" w:rsidRDefault="00081B0A" w:rsidP="00CA5734">
      <w:r w:rsidRPr="00955E1D">
        <w:t xml:space="preserve">On </w:t>
      </w:r>
      <w:r w:rsidR="00955E1D" w:rsidRPr="00955E1D">
        <w:t xml:space="preserve">26 April, </w:t>
      </w:r>
      <w:r>
        <w:t xml:space="preserve">FSANZ sought </w:t>
      </w:r>
      <w:r w:rsidR="003A7B84">
        <w:t xml:space="preserve">submissions </w:t>
      </w:r>
      <w:r w:rsidR="00A671E6">
        <w:t xml:space="preserve">on </w:t>
      </w:r>
      <w:r w:rsidR="00F526BD">
        <w:t xml:space="preserve">a draft </w:t>
      </w:r>
      <w:r w:rsidR="00E30092" w:rsidRPr="005D5D83">
        <w:t>variation</w:t>
      </w:r>
      <w:r w:rsidR="003A7B84" w:rsidRPr="00377DB5">
        <w:t xml:space="preserve"> </w:t>
      </w:r>
      <w:r w:rsidR="003A7B84">
        <w:t xml:space="preserve">and </w:t>
      </w:r>
      <w:r w:rsidR="00287A9A">
        <w:t xml:space="preserve">published </w:t>
      </w:r>
      <w:r w:rsidR="003A7B84">
        <w:t xml:space="preserve">an </w:t>
      </w:r>
      <w:r w:rsidR="00EC21DF">
        <w:t>associated r</w:t>
      </w:r>
      <w:r w:rsidR="003A7B84">
        <w:t>eport</w:t>
      </w:r>
      <w:r>
        <w:t>.</w:t>
      </w:r>
      <w:r w:rsidR="00F526BD">
        <w:t xml:space="preserve"> FSANZ received </w:t>
      </w:r>
      <w:r w:rsidR="00377DB5">
        <w:t>three</w:t>
      </w:r>
      <w:r w:rsidR="00F526BD">
        <w:t xml:space="preserve"> submissions.</w:t>
      </w:r>
    </w:p>
    <w:p w14:paraId="1207FABA" w14:textId="77777777" w:rsidR="00CA5734" w:rsidRDefault="00CA5734" w:rsidP="00CA5734"/>
    <w:p w14:paraId="572A6EA3" w14:textId="22A32316" w:rsidR="00081B0A" w:rsidRDefault="00081B0A" w:rsidP="00CA5734">
      <w:r>
        <w:t>FSANZ approved the draft</w:t>
      </w:r>
      <w:r w:rsidR="00E30092" w:rsidRPr="005D5D83">
        <w:t xml:space="preserve"> variation </w:t>
      </w:r>
      <w:r w:rsidR="0012388D">
        <w:t>on</w:t>
      </w:r>
      <w:r w:rsidR="000A3D16">
        <w:t xml:space="preserve"> 9 August 2017</w:t>
      </w:r>
      <w:r>
        <w:t xml:space="preserve">. </w:t>
      </w:r>
      <w:r w:rsidR="003A7B84">
        <w:t xml:space="preserve">The </w:t>
      </w:r>
      <w:r w:rsidR="00011187">
        <w:rPr>
          <w:rFonts w:cs="Helvetica"/>
          <w:lang w:val="en-AU"/>
        </w:rPr>
        <w:t xml:space="preserve">Australia and New Zealand Ministerial Forum on Food </w:t>
      </w:r>
      <w:r w:rsidR="00011187">
        <w:rPr>
          <w:rFonts w:cs="Arial"/>
        </w:rPr>
        <w:t>Regulation</w:t>
      </w:r>
      <w:r w:rsidR="003A7B84">
        <w:t xml:space="preserve"> was notified of FSANZ’s decision on </w:t>
      </w:r>
      <w:r w:rsidR="000A3D16">
        <w:t>17 August 2017</w:t>
      </w:r>
      <w:r w:rsidR="003A7B84">
        <w:t>.</w:t>
      </w:r>
    </w:p>
    <w:p w14:paraId="11E33E7B" w14:textId="77777777" w:rsidR="00CA5734" w:rsidRDefault="00CA5734" w:rsidP="00CA5734"/>
    <w:p w14:paraId="55E0B14D" w14:textId="356A4DE8" w:rsidR="00081B0A" w:rsidRDefault="003A7B84" w:rsidP="00292B9B">
      <w:r>
        <w:t>This R</w:t>
      </w:r>
      <w:r w:rsidR="00B425AA">
        <w:t xml:space="preserve">eport is provided pursuant to </w:t>
      </w:r>
      <w:r w:rsidR="009A2699" w:rsidRPr="00377DB5">
        <w:t>paragraph</w:t>
      </w:r>
      <w:r w:rsidR="00081B0A" w:rsidRPr="00377DB5">
        <w:t xml:space="preserve"> </w:t>
      </w:r>
      <w:r w:rsidR="00081B0A" w:rsidRPr="005D5D83">
        <w:t>33(1</w:t>
      </w:r>
      <w:proofErr w:type="gramStart"/>
      <w:r w:rsidR="00081B0A" w:rsidRPr="005D5D83">
        <w:t>)(</w:t>
      </w:r>
      <w:proofErr w:type="gramEnd"/>
      <w:r w:rsidR="00081B0A" w:rsidRPr="005D5D83">
        <w:t>b</w:t>
      </w:r>
      <w:r w:rsidR="00673965" w:rsidRPr="005D5D83">
        <w:t>)</w:t>
      </w:r>
      <w:r w:rsidR="00673965">
        <w:t xml:space="preserve"> of</w:t>
      </w:r>
      <w:r w:rsidR="00081B0A">
        <w:t xml:space="preserve"> the </w:t>
      </w:r>
      <w:r w:rsidR="00081B0A" w:rsidRPr="0012388D">
        <w:rPr>
          <w:i/>
        </w:rPr>
        <w:t>Food Standards Australia New Zealand Act 1991</w:t>
      </w:r>
      <w:r w:rsidR="00081B0A">
        <w:t xml:space="preserve"> (the FSANZ Act).</w:t>
      </w:r>
    </w:p>
    <w:p w14:paraId="27FEAECA" w14:textId="77777777" w:rsidR="00F526BD" w:rsidRDefault="00F526BD" w:rsidP="00A671E6"/>
    <w:p w14:paraId="708450B9" w14:textId="77777777" w:rsidR="00EB6590" w:rsidRDefault="00EB6590" w:rsidP="00F526BD"/>
    <w:p w14:paraId="1F19C524" w14:textId="77777777" w:rsidR="00A671E6" w:rsidRDefault="00A671E6" w:rsidP="00CC5468">
      <w:pPr>
        <w:sectPr w:rsidR="00A671E6" w:rsidSect="003130E0">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p w14:paraId="3AACBA57"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sdt>
      <w:sdtPr>
        <w:rPr>
          <w:b w:val="0"/>
          <w:bCs w:val="0"/>
          <w:sz w:val="22"/>
          <w:szCs w:val="24"/>
          <w:lang w:bidi="en-US"/>
        </w:rPr>
        <w:id w:val="-1726756509"/>
        <w:docPartObj>
          <w:docPartGallery w:val="Table of Contents"/>
          <w:docPartUnique/>
        </w:docPartObj>
      </w:sdtPr>
      <w:sdtEndPr>
        <w:rPr>
          <w:noProof/>
        </w:rPr>
      </w:sdtEndPr>
      <w:sdtContent>
        <w:p w14:paraId="6A487466" w14:textId="4B27AFA4" w:rsidR="00E54BD8" w:rsidRPr="003130E0" w:rsidRDefault="00E54BD8">
          <w:pPr>
            <w:pStyle w:val="TOCHeading"/>
            <w:rPr>
              <w:rFonts w:cs="Arial"/>
              <w:sz w:val="28"/>
            </w:rPr>
          </w:pPr>
          <w:r w:rsidRPr="003130E0">
            <w:rPr>
              <w:rFonts w:cs="Arial"/>
              <w:sz w:val="28"/>
            </w:rPr>
            <w:t>Contents</w:t>
          </w:r>
        </w:p>
        <w:p w14:paraId="1C319776" w14:textId="30F5FF8E" w:rsidR="00DC1C2C" w:rsidRDefault="00E54BD8">
          <w:pPr>
            <w:pStyle w:val="TOC1"/>
            <w:tabs>
              <w:tab w:val="right" w:leader="dot" w:pos="9060"/>
            </w:tabs>
            <w:rPr>
              <w:rFonts w:eastAsiaTheme="minorEastAsia" w:cstheme="minorBidi"/>
              <w:b w:val="0"/>
              <w:bCs w:val="0"/>
              <w:caps w:val="0"/>
              <w:noProof/>
              <w:sz w:val="22"/>
              <w:szCs w:val="22"/>
              <w:lang w:val="en-NZ" w:eastAsia="en-NZ" w:bidi="ar-SA"/>
            </w:rPr>
          </w:pPr>
          <w:r w:rsidRPr="009B2DD1">
            <w:rPr>
              <w:rFonts w:ascii="Arial" w:hAnsi="Arial" w:cs="Arial"/>
              <w:sz w:val="22"/>
              <w:szCs w:val="22"/>
            </w:rPr>
            <w:fldChar w:fldCharType="begin"/>
          </w:r>
          <w:r w:rsidRPr="009B2DD1">
            <w:rPr>
              <w:rFonts w:ascii="Arial" w:hAnsi="Arial" w:cs="Arial"/>
              <w:sz w:val="22"/>
              <w:szCs w:val="22"/>
            </w:rPr>
            <w:instrText xml:space="preserve"> TOC \o "1-3" \h \z \u </w:instrText>
          </w:r>
          <w:r w:rsidRPr="009B2DD1">
            <w:rPr>
              <w:rFonts w:ascii="Arial" w:hAnsi="Arial" w:cs="Arial"/>
              <w:sz w:val="22"/>
              <w:szCs w:val="22"/>
            </w:rPr>
            <w:fldChar w:fldCharType="separate"/>
          </w:r>
          <w:hyperlink w:anchor="_Toc487795092" w:history="1">
            <w:r w:rsidR="00DC1C2C" w:rsidRPr="00B72896">
              <w:rPr>
                <w:rStyle w:val="Hyperlink"/>
                <w:noProof/>
              </w:rPr>
              <w:t>Executive summary</w:t>
            </w:r>
            <w:r w:rsidR="00DC1C2C">
              <w:rPr>
                <w:noProof/>
                <w:webHidden/>
              </w:rPr>
              <w:tab/>
            </w:r>
            <w:r w:rsidR="00DC1C2C">
              <w:rPr>
                <w:noProof/>
                <w:webHidden/>
              </w:rPr>
              <w:fldChar w:fldCharType="begin"/>
            </w:r>
            <w:r w:rsidR="00DC1C2C">
              <w:rPr>
                <w:noProof/>
                <w:webHidden/>
              </w:rPr>
              <w:instrText xml:space="preserve"> PAGEREF _Toc487795092 \h </w:instrText>
            </w:r>
            <w:r w:rsidR="00DC1C2C">
              <w:rPr>
                <w:noProof/>
                <w:webHidden/>
              </w:rPr>
            </w:r>
            <w:r w:rsidR="00DC1C2C">
              <w:rPr>
                <w:noProof/>
                <w:webHidden/>
              </w:rPr>
              <w:fldChar w:fldCharType="separate"/>
            </w:r>
            <w:r w:rsidR="00C17206">
              <w:rPr>
                <w:noProof/>
                <w:webHidden/>
              </w:rPr>
              <w:t>2</w:t>
            </w:r>
            <w:r w:rsidR="00DC1C2C">
              <w:rPr>
                <w:noProof/>
                <w:webHidden/>
              </w:rPr>
              <w:fldChar w:fldCharType="end"/>
            </w:r>
          </w:hyperlink>
        </w:p>
        <w:p w14:paraId="358C54DF" w14:textId="17AA9AE2" w:rsidR="00DC1C2C" w:rsidRDefault="00C1720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87795093" w:history="1">
            <w:r w:rsidR="00DC1C2C" w:rsidRPr="00B72896">
              <w:rPr>
                <w:rStyle w:val="Hyperlink"/>
                <w:noProof/>
              </w:rPr>
              <w:t>1</w:t>
            </w:r>
            <w:r w:rsidR="00DC1C2C">
              <w:rPr>
                <w:rFonts w:eastAsiaTheme="minorEastAsia" w:cstheme="minorBidi"/>
                <w:b w:val="0"/>
                <w:bCs w:val="0"/>
                <w:caps w:val="0"/>
                <w:noProof/>
                <w:sz w:val="22"/>
                <w:szCs w:val="22"/>
                <w:lang w:val="en-NZ" w:eastAsia="en-NZ" w:bidi="ar-SA"/>
              </w:rPr>
              <w:tab/>
            </w:r>
            <w:r w:rsidR="00DC1C2C" w:rsidRPr="00B72896">
              <w:rPr>
                <w:rStyle w:val="Hyperlink"/>
                <w:noProof/>
              </w:rPr>
              <w:t>Introduction</w:t>
            </w:r>
            <w:r w:rsidR="00DC1C2C">
              <w:rPr>
                <w:noProof/>
                <w:webHidden/>
              </w:rPr>
              <w:tab/>
            </w:r>
            <w:r w:rsidR="00DC1C2C">
              <w:rPr>
                <w:noProof/>
                <w:webHidden/>
              </w:rPr>
              <w:fldChar w:fldCharType="begin"/>
            </w:r>
            <w:r w:rsidR="00DC1C2C">
              <w:rPr>
                <w:noProof/>
                <w:webHidden/>
              </w:rPr>
              <w:instrText xml:space="preserve"> PAGEREF _Toc487795093 \h </w:instrText>
            </w:r>
            <w:r w:rsidR="00DC1C2C">
              <w:rPr>
                <w:noProof/>
                <w:webHidden/>
              </w:rPr>
            </w:r>
            <w:r w:rsidR="00DC1C2C">
              <w:rPr>
                <w:noProof/>
                <w:webHidden/>
              </w:rPr>
              <w:fldChar w:fldCharType="separate"/>
            </w:r>
            <w:r>
              <w:rPr>
                <w:noProof/>
                <w:webHidden/>
              </w:rPr>
              <w:t>3</w:t>
            </w:r>
            <w:r w:rsidR="00DC1C2C">
              <w:rPr>
                <w:noProof/>
                <w:webHidden/>
              </w:rPr>
              <w:fldChar w:fldCharType="end"/>
            </w:r>
          </w:hyperlink>
        </w:p>
        <w:p w14:paraId="63A0C208" w14:textId="7A8966AF"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094" w:history="1">
            <w:r w:rsidR="00DC1C2C" w:rsidRPr="00B72896">
              <w:rPr>
                <w:rStyle w:val="Hyperlink"/>
                <w:noProof/>
              </w:rPr>
              <w:t>1.1</w:t>
            </w:r>
            <w:r w:rsidR="00DC1C2C">
              <w:rPr>
                <w:rFonts w:eastAsiaTheme="minorEastAsia" w:cstheme="minorBidi"/>
                <w:smallCaps w:val="0"/>
                <w:noProof/>
                <w:sz w:val="22"/>
                <w:szCs w:val="22"/>
                <w:lang w:val="en-NZ" w:eastAsia="en-NZ" w:bidi="ar-SA"/>
              </w:rPr>
              <w:tab/>
            </w:r>
            <w:r w:rsidR="00DC1C2C" w:rsidRPr="00B72896">
              <w:rPr>
                <w:rStyle w:val="Hyperlink"/>
                <w:noProof/>
              </w:rPr>
              <w:t>The Applicant</w:t>
            </w:r>
            <w:r w:rsidR="00DC1C2C">
              <w:rPr>
                <w:noProof/>
                <w:webHidden/>
              </w:rPr>
              <w:tab/>
            </w:r>
            <w:r w:rsidR="00DC1C2C">
              <w:rPr>
                <w:noProof/>
                <w:webHidden/>
              </w:rPr>
              <w:fldChar w:fldCharType="begin"/>
            </w:r>
            <w:r w:rsidR="00DC1C2C">
              <w:rPr>
                <w:noProof/>
                <w:webHidden/>
              </w:rPr>
              <w:instrText xml:space="preserve"> PAGEREF _Toc487795094 \h </w:instrText>
            </w:r>
            <w:r w:rsidR="00DC1C2C">
              <w:rPr>
                <w:noProof/>
                <w:webHidden/>
              </w:rPr>
            </w:r>
            <w:r w:rsidR="00DC1C2C">
              <w:rPr>
                <w:noProof/>
                <w:webHidden/>
              </w:rPr>
              <w:fldChar w:fldCharType="separate"/>
            </w:r>
            <w:r>
              <w:rPr>
                <w:noProof/>
                <w:webHidden/>
              </w:rPr>
              <w:t>3</w:t>
            </w:r>
            <w:r w:rsidR="00DC1C2C">
              <w:rPr>
                <w:noProof/>
                <w:webHidden/>
              </w:rPr>
              <w:fldChar w:fldCharType="end"/>
            </w:r>
          </w:hyperlink>
        </w:p>
        <w:p w14:paraId="294090A3" w14:textId="1FB0ADD6"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095" w:history="1">
            <w:r w:rsidR="00DC1C2C" w:rsidRPr="00B72896">
              <w:rPr>
                <w:rStyle w:val="Hyperlink"/>
                <w:noProof/>
              </w:rPr>
              <w:t>1.2</w:t>
            </w:r>
            <w:r w:rsidR="00DC1C2C">
              <w:rPr>
                <w:rFonts w:eastAsiaTheme="minorEastAsia" w:cstheme="minorBidi"/>
                <w:smallCaps w:val="0"/>
                <w:noProof/>
                <w:sz w:val="22"/>
                <w:szCs w:val="22"/>
                <w:lang w:val="en-NZ" w:eastAsia="en-NZ" w:bidi="ar-SA"/>
              </w:rPr>
              <w:tab/>
            </w:r>
            <w:r w:rsidR="00DC1C2C" w:rsidRPr="00B72896">
              <w:rPr>
                <w:rStyle w:val="Hyperlink"/>
                <w:noProof/>
              </w:rPr>
              <w:t xml:space="preserve">The </w:t>
            </w:r>
            <w:r w:rsidR="00DC1C2C" w:rsidRPr="00B72896">
              <w:rPr>
                <w:rStyle w:val="Hyperlink"/>
                <w:noProof/>
                <w:shd w:val="clear" w:color="auto" w:fill="FFFFFF" w:themeFill="background1"/>
              </w:rPr>
              <w:t>Application</w:t>
            </w:r>
            <w:r w:rsidR="00DC1C2C">
              <w:rPr>
                <w:noProof/>
                <w:webHidden/>
              </w:rPr>
              <w:tab/>
            </w:r>
            <w:r w:rsidR="00DC1C2C">
              <w:rPr>
                <w:noProof/>
                <w:webHidden/>
              </w:rPr>
              <w:fldChar w:fldCharType="begin"/>
            </w:r>
            <w:r w:rsidR="00DC1C2C">
              <w:rPr>
                <w:noProof/>
                <w:webHidden/>
              </w:rPr>
              <w:instrText xml:space="preserve"> PAGEREF _Toc487795095 \h </w:instrText>
            </w:r>
            <w:r w:rsidR="00DC1C2C">
              <w:rPr>
                <w:noProof/>
                <w:webHidden/>
              </w:rPr>
            </w:r>
            <w:r w:rsidR="00DC1C2C">
              <w:rPr>
                <w:noProof/>
                <w:webHidden/>
              </w:rPr>
              <w:fldChar w:fldCharType="separate"/>
            </w:r>
            <w:r>
              <w:rPr>
                <w:noProof/>
                <w:webHidden/>
              </w:rPr>
              <w:t>3</w:t>
            </w:r>
            <w:r w:rsidR="00DC1C2C">
              <w:rPr>
                <w:noProof/>
                <w:webHidden/>
              </w:rPr>
              <w:fldChar w:fldCharType="end"/>
            </w:r>
          </w:hyperlink>
        </w:p>
        <w:p w14:paraId="2CF98DFD" w14:textId="215BFEAD"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096" w:history="1">
            <w:r w:rsidR="00DC1C2C" w:rsidRPr="00B72896">
              <w:rPr>
                <w:rStyle w:val="Hyperlink"/>
                <w:noProof/>
              </w:rPr>
              <w:t>1.3</w:t>
            </w:r>
            <w:r w:rsidR="00DC1C2C">
              <w:rPr>
                <w:rFonts w:eastAsiaTheme="minorEastAsia" w:cstheme="minorBidi"/>
                <w:smallCaps w:val="0"/>
                <w:noProof/>
                <w:sz w:val="22"/>
                <w:szCs w:val="22"/>
                <w:lang w:val="en-NZ" w:eastAsia="en-NZ" w:bidi="ar-SA"/>
              </w:rPr>
              <w:tab/>
            </w:r>
            <w:r w:rsidR="00DC1C2C" w:rsidRPr="00B72896">
              <w:rPr>
                <w:rStyle w:val="Hyperlink"/>
                <w:noProof/>
              </w:rPr>
              <w:t>The current Standard</w:t>
            </w:r>
            <w:r w:rsidR="00DC1C2C">
              <w:rPr>
                <w:noProof/>
                <w:webHidden/>
              </w:rPr>
              <w:tab/>
            </w:r>
            <w:r w:rsidR="00DC1C2C">
              <w:rPr>
                <w:noProof/>
                <w:webHidden/>
              </w:rPr>
              <w:fldChar w:fldCharType="begin"/>
            </w:r>
            <w:r w:rsidR="00DC1C2C">
              <w:rPr>
                <w:noProof/>
                <w:webHidden/>
              </w:rPr>
              <w:instrText xml:space="preserve"> PAGEREF _Toc487795096 \h </w:instrText>
            </w:r>
            <w:r w:rsidR="00DC1C2C">
              <w:rPr>
                <w:noProof/>
                <w:webHidden/>
              </w:rPr>
            </w:r>
            <w:r w:rsidR="00DC1C2C">
              <w:rPr>
                <w:noProof/>
                <w:webHidden/>
              </w:rPr>
              <w:fldChar w:fldCharType="separate"/>
            </w:r>
            <w:r>
              <w:rPr>
                <w:noProof/>
                <w:webHidden/>
              </w:rPr>
              <w:t>3</w:t>
            </w:r>
            <w:r w:rsidR="00DC1C2C">
              <w:rPr>
                <w:noProof/>
                <w:webHidden/>
              </w:rPr>
              <w:fldChar w:fldCharType="end"/>
            </w:r>
          </w:hyperlink>
        </w:p>
        <w:p w14:paraId="7CC8F567" w14:textId="4B915501"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097" w:history="1">
            <w:r w:rsidR="00DC1C2C" w:rsidRPr="00B72896">
              <w:rPr>
                <w:rStyle w:val="Hyperlink"/>
                <w:noProof/>
              </w:rPr>
              <w:t>1.3.1</w:t>
            </w:r>
            <w:r w:rsidR="00DC1C2C">
              <w:rPr>
                <w:rFonts w:eastAsiaTheme="minorEastAsia" w:cstheme="minorBidi"/>
                <w:i w:val="0"/>
                <w:iCs w:val="0"/>
                <w:noProof/>
                <w:sz w:val="22"/>
                <w:szCs w:val="22"/>
                <w:lang w:val="en-NZ" w:eastAsia="en-NZ" w:bidi="ar-SA"/>
              </w:rPr>
              <w:tab/>
            </w:r>
            <w:r w:rsidR="00DC1C2C" w:rsidRPr="00B72896">
              <w:rPr>
                <w:rStyle w:val="Hyperlink"/>
                <w:noProof/>
              </w:rPr>
              <w:t>International standards</w:t>
            </w:r>
            <w:r w:rsidR="00DC1C2C">
              <w:rPr>
                <w:noProof/>
                <w:webHidden/>
              </w:rPr>
              <w:tab/>
            </w:r>
            <w:r w:rsidR="00DC1C2C">
              <w:rPr>
                <w:noProof/>
                <w:webHidden/>
              </w:rPr>
              <w:fldChar w:fldCharType="begin"/>
            </w:r>
            <w:r w:rsidR="00DC1C2C">
              <w:rPr>
                <w:noProof/>
                <w:webHidden/>
              </w:rPr>
              <w:instrText xml:space="preserve"> PAGEREF _Toc487795097 \h </w:instrText>
            </w:r>
            <w:r w:rsidR="00DC1C2C">
              <w:rPr>
                <w:noProof/>
                <w:webHidden/>
              </w:rPr>
            </w:r>
            <w:r w:rsidR="00DC1C2C">
              <w:rPr>
                <w:noProof/>
                <w:webHidden/>
              </w:rPr>
              <w:fldChar w:fldCharType="separate"/>
            </w:r>
            <w:r>
              <w:rPr>
                <w:noProof/>
                <w:webHidden/>
              </w:rPr>
              <w:t>4</w:t>
            </w:r>
            <w:r w:rsidR="00DC1C2C">
              <w:rPr>
                <w:noProof/>
                <w:webHidden/>
              </w:rPr>
              <w:fldChar w:fldCharType="end"/>
            </w:r>
          </w:hyperlink>
        </w:p>
        <w:p w14:paraId="447B7019" w14:textId="7E4C9F39"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098" w:history="1">
            <w:r w:rsidR="00DC1C2C" w:rsidRPr="00B72896">
              <w:rPr>
                <w:rStyle w:val="Hyperlink"/>
                <w:noProof/>
                <w:u w:color="FFFF00"/>
              </w:rPr>
              <w:t>1.4</w:t>
            </w:r>
            <w:r w:rsidR="00DC1C2C">
              <w:rPr>
                <w:rFonts w:eastAsiaTheme="minorEastAsia" w:cstheme="minorBidi"/>
                <w:smallCaps w:val="0"/>
                <w:noProof/>
                <w:sz w:val="22"/>
                <w:szCs w:val="22"/>
                <w:lang w:val="en-NZ" w:eastAsia="en-NZ" w:bidi="ar-SA"/>
              </w:rPr>
              <w:tab/>
            </w:r>
            <w:r w:rsidR="00DC1C2C" w:rsidRPr="00B72896">
              <w:rPr>
                <w:rStyle w:val="Hyperlink"/>
                <w:noProof/>
                <w:u w:color="FFFF00"/>
              </w:rPr>
              <w:t>Reasons for accepting Application</w:t>
            </w:r>
            <w:r w:rsidR="00DC1C2C">
              <w:rPr>
                <w:noProof/>
                <w:webHidden/>
              </w:rPr>
              <w:tab/>
            </w:r>
            <w:r w:rsidR="00DC1C2C">
              <w:rPr>
                <w:noProof/>
                <w:webHidden/>
              </w:rPr>
              <w:fldChar w:fldCharType="begin"/>
            </w:r>
            <w:r w:rsidR="00DC1C2C">
              <w:rPr>
                <w:noProof/>
                <w:webHidden/>
              </w:rPr>
              <w:instrText xml:space="preserve"> PAGEREF _Toc487795098 \h </w:instrText>
            </w:r>
            <w:r w:rsidR="00DC1C2C">
              <w:rPr>
                <w:noProof/>
                <w:webHidden/>
              </w:rPr>
            </w:r>
            <w:r w:rsidR="00DC1C2C">
              <w:rPr>
                <w:noProof/>
                <w:webHidden/>
              </w:rPr>
              <w:fldChar w:fldCharType="separate"/>
            </w:r>
            <w:r>
              <w:rPr>
                <w:noProof/>
                <w:webHidden/>
              </w:rPr>
              <w:t>4</w:t>
            </w:r>
            <w:r w:rsidR="00DC1C2C">
              <w:rPr>
                <w:noProof/>
                <w:webHidden/>
              </w:rPr>
              <w:fldChar w:fldCharType="end"/>
            </w:r>
          </w:hyperlink>
        </w:p>
        <w:p w14:paraId="4E883657" w14:textId="72F1620F"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099" w:history="1">
            <w:r w:rsidR="00DC1C2C" w:rsidRPr="00B72896">
              <w:rPr>
                <w:rStyle w:val="Hyperlink"/>
                <w:noProof/>
              </w:rPr>
              <w:t>1.5</w:t>
            </w:r>
            <w:r w:rsidR="00DC1C2C">
              <w:rPr>
                <w:rFonts w:eastAsiaTheme="minorEastAsia" w:cstheme="minorBidi"/>
                <w:smallCaps w:val="0"/>
                <w:noProof/>
                <w:sz w:val="22"/>
                <w:szCs w:val="22"/>
                <w:lang w:val="en-NZ" w:eastAsia="en-NZ" w:bidi="ar-SA"/>
              </w:rPr>
              <w:tab/>
            </w:r>
            <w:r w:rsidR="00DC1C2C" w:rsidRPr="00B72896">
              <w:rPr>
                <w:rStyle w:val="Hyperlink"/>
                <w:noProof/>
              </w:rPr>
              <w:t>Procedure for assessment</w:t>
            </w:r>
            <w:r w:rsidR="00DC1C2C">
              <w:rPr>
                <w:noProof/>
                <w:webHidden/>
              </w:rPr>
              <w:tab/>
            </w:r>
            <w:r w:rsidR="00DC1C2C">
              <w:rPr>
                <w:noProof/>
                <w:webHidden/>
              </w:rPr>
              <w:fldChar w:fldCharType="begin"/>
            </w:r>
            <w:r w:rsidR="00DC1C2C">
              <w:rPr>
                <w:noProof/>
                <w:webHidden/>
              </w:rPr>
              <w:instrText xml:space="preserve"> PAGEREF _Toc487795099 \h </w:instrText>
            </w:r>
            <w:r w:rsidR="00DC1C2C">
              <w:rPr>
                <w:noProof/>
                <w:webHidden/>
              </w:rPr>
            </w:r>
            <w:r w:rsidR="00DC1C2C">
              <w:rPr>
                <w:noProof/>
                <w:webHidden/>
              </w:rPr>
              <w:fldChar w:fldCharType="separate"/>
            </w:r>
            <w:r>
              <w:rPr>
                <w:noProof/>
                <w:webHidden/>
              </w:rPr>
              <w:t>4</w:t>
            </w:r>
            <w:r w:rsidR="00DC1C2C">
              <w:rPr>
                <w:noProof/>
                <w:webHidden/>
              </w:rPr>
              <w:fldChar w:fldCharType="end"/>
            </w:r>
          </w:hyperlink>
        </w:p>
        <w:p w14:paraId="5A99777A" w14:textId="1724CBE8"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00" w:history="1">
            <w:r w:rsidR="00DC1C2C" w:rsidRPr="00B72896">
              <w:rPr>
                <w:rStyle w:val="Hyperlink"/>
                <w:noProof/>
              </w:rPr>
              <w:t>1.6</w:t>
            </w:r>
            <w:r w:rsidR="00DC1C2C">
              <w:rPr>
                <w:rFonts w:eastAsiaTheme="minorEastAsia" w:cstheme="minorBidi"/>
                <w:smallCaps w:val="0"/>
                <w:noProof/>
                <w:sz w:val="22"/>
                <w:szCs w:val="22"/>
                <w:lang w:val="en-NZ" w:eastAsia="en-NZ" w:bidi="ar-SA"/>
              </w:rPr>
              <w:tab/>
            </w:r>
            <w:r w:rsidR="00DC1C2C" w:rsidRPr="00B72896">
              <w:rPr>
                <w:rStyle w:val="Hyperlink"/>
                <w:noProof/>
              </w:rPr>
              <w:t>Decision</w:t>
            </w:r>
            <w:r w:rsidR="00DC1C2C">
              <w:rPr>
                <w:noProof/>
                <w:webHidden/>
              </w:rPr>
              <w:tab/>
            </w:r>
            <w:r w:rsidR="00DC1C2C">
              <w:rPr>
                <w:noProof/>
                <w:webHidden/>
              </w:rPr>
              <w:fldChar w:fldCharType="begin"/>
            </w:r>
            <w:r w:rsidR="00DC1C2C">
              <w:rPr>
                <w:noProof/>
                <w:webHidden/>
              </w:rPr>
              <w:instrText xml:space="preserve"> PAGEREF _Toc487795100 \h </w:instrText>
            </w:r>
            <w:r w:rsidR="00DC1C2C">
              <w:rPr>
                <w:noProof/>
                <w:webHidden/>
              </w:rPr>
            </w:r>
            <w:r w:rsidR="00DC1C2C">
              <w:rPr>
                <w:noProof/>
                <w:webHidden/>
              </w:rPr>
              <w:fldChar w:fldCharType="separate"/>
            </w:r>
            <w:r>
              <w:rPr>
                <w:noProof/>
                <w:webHidden/>
              </w:rPr>
              <w:t>4</w:t>
            </w:r>
            <w:r w:rsidR="00DC1C2C">
              <w:rPr>
                <w:noProof/>
                <w:webHidden/>
              </w:rPr>
              <w:fldChar w:fldCharType="end"/>
            </w:r>
          </w:hyperlink>
        </w:p>
        <w:p w14:paraId="4C897549" w14:textId="5CC4EA21" w:rsidR="00DC1C2C" w:rsidRDefault="00C17206">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87795101" w:history="1">
            <w:r w:rsidR="00DC1C2C" w:rsidRPr="00B72896">
              <w:rPr>
                <w:rStyle w:val="Hyperlink"/>
                <w:noProof/>
              </w:rPr>
              <w:t>2</w:t>
            </w:r>
            <w:r w:rsidR="00DC1C2C">
              <w:rPr>
                <w:rFonts w:eastAsiaTheme="minorEastAsia" w:cstheme="minorBidi"/>
                <w:b w:val="0"/>
                <w:bCs w:val="0"/>
                <w:caps w:val="0"/>
                <w:noProof/>
                <w:sz w:val="22"/>
                <w:szCs w:val="22"/>
                <w:lang w:val="en-NZ" w:eastAsia="en-NZ" w:bidi="ar-SA"/>
              </w:rPr>
              <w:tab/>
            </w:r>
            <w:r w:rsidR="00DC1C2C" w:rsidRPr="00B72896">
              <w:rPr>
                <w:rStyle w:val="Hyperlink"/>
                <w:noProof/>
              </w:rPr>
              <w:t>Summary of the findings</w:t>
            </w:r>
            <w:r w:rsidR="00DC1C2C">
              <w:rPr>
                <w:noProof/>
                <w:webHidden/>
              </w:rPr>
              <w:tab/>
            </w:r>
            <w:r w:rsidR="00DC1C2C">
              <w:rPr>
                <w:noProof/>
                <w:webHidden/>
              </w:rPr>
              <w:fldChar w:fldCharType="begin"/>
            </w:r>
            <w:r w:rsidR="00DC1C2C">
              <w:rPr>
                <w:noProof/>
                <w:webHidden/>
              </w:rPr>
              <w:instrText xml:space="preserve"> PAGEREF _Toc487795101 \h </w:instrText>
            </w:r>
            <w:r w:rsidR="00DC1C2C">
              <w:rPr>
                <w:noProof/>
                <w:webHidden/>
              </w:rPr>
            </w:r>
            <w:r w:rsidR="00DC1C2C">
              <w:rPr>
                <w:noProof/>
                <w:webHidden/>
              </w:rPr>
              <w:fldChar w:fldCharType="separate"/>
            </w:r>
            <w:r>
              <w:rPr>
                <w:noProof/>
                <w:webHidden/>
              </w:rPr>
              <w:t>5</w:t>
            </w:r>
            <w:r w:rsidR="00DC1C2C">
              <w:rPr>
                <w:noProof/>
                <w:webHidden/>
              </w:rPr>
              <w:fldChar w:fldCharType="end"/>
            </w:r>
          </w:hyperlink>
        </w:p>
        <w:p w14:paraId="506555EC" w14:textId="39E6A9C1"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02" w:history="1">
            <w:r w:rsidR="00DC1C2C" w:rsidRPr="00B72896">
              <w:rPr>
                <w:rStyle w:val="Hyperlink"/>
                <w:noProof/>
              </w:rPr>
              <w:t>2.1</w:t>
            </w:r>
            <w:r w:rsidR="00DC1C2C">
              <w:rPr>
                <w:rFonts w:eastAsiaTheme="minorEastAsia" w:cstheme="minorBidi"/>
                <w:smallCaps w:val="0"/>
                <w:noProof/>
                <w:sz w:val="22"/>
                <w:szCs w:val="22"/>
                <w:lang w:val="en-NZ" w:eastAsia="en-NZ" w:bidi="ar-SA"/>
              </w:rPr>
              <w:tab/>
            </w:r>
            <w:r w:rsidR="00DC1C2C" w:rsidRPr="00B72896">
              <w:rPr>
                <w:rStyle w:val="Hyperlink"/>
                <w:noProof/>
              </w:rPr>
              <w:t>Summary of issues raised in submissions</w:t>
            </w:r>
            <w:r w:rsidR="00DC1C2C">
              <w:rPr>
                <w:noProof/>
                <w:webHidden/>
              </w:rPr>
              <w:tab/>
            </w:r>
            <w:r w:rsidR="00DC1C2C">
              <w:rPr>
                <w:noProof/>
                <w:webHidden/>
              </w:rPr>
              <w:fldChar w:fldCharType="begin"/>
            </w:r>
            <w:r w:rsidR="00DC1C2C">
              <w:rPr>
                <w:noProof/>
                <w:webHidden/>
              </w:rPr>
              <w:instrText xml:space="preserve"> PAGEREF _Toc487795102 \h </w:instrText>
            </w:r>
            <w:r w:rsidR="00DC1C2C">
              <w:rPr>
                <w:noProof/>
                <w:webHidden/>
              </w:rPr>
            </w:r>
            <w:r w:rsidR="00DC1C2C">
              <w:rPr>
                <w:noProof/>
                <w:webHidden/>
              </w:rPr>
              <w:fldChar w:fldCharType="separate"/>
            </w:r>
            <w:r>
              <w:rPr>
                <w:noProof/>
                <w:webHidden/>
              </w:rPr>
              <w:t>5</w:t>
            </w:r>
            <w:r w:rsidR="00DC1C2C">
              <w:rPr>
                <w:noProof/>
                <w:webHidden/>
              </w:rPr>
              <w:fldChar w:fldCharType="end"/>
            </w:r>
          </w:hyperlink>
        </w:p>
        <w:p w14:paraId="5A9E27DC" w14:textId="55DFDB76"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03" w:history="1">
            <w:r w:rsidR="00DC1C2C" w:rsidRPr="00B72896">
              <w:rPr>
                <w:rStyle w:val="Hyperlink"/>
                <w:noProof/>
              </w:rPr>
              <w:t>2.2</w:t>
            </w:r>
            <w:r w:rsidR="00DC1C2C">
              <w:rPr>
                <w:rFonts w:eastAsiaTheme="minorEastAsia" w:cstheme="minorBidi"/>
                <w:smallCaps w:val="0"/>
                <w:noProof/>
                <w:sz w:val="22"/>
                <w:szCs w:val="22"/>
                <w:lang w:val="en-NZ" w:eastAsia="en-NZ" w:bidi="ar-SA"/>
              </w:rPr>
              <w:tab/>
            </w:r>
            <w:r w:rsidR="00DC1C2C" w:rsidRPr="00B72896">
              <w:rPr>
                <w:rStyle w:val="Hyperlink"/>
                <w:noProof/>
              </w:rPr>
              <w:t>Risk assessment</w:t>
            </w:r>
            <w:r w:rsidR="00DC1C2C">
              <w:rPr>
                <w:noProof/>
                <w:webHidden/>
              </w:rPr>
              <w:tab/>
            </w:r>
            <w:r w:rsidR="00DC1C2C">
              <w:rPr>
                <w:noProof/>
                <w:webHidden/>
              </w:rPr>
              <w:fldChar w:fldCharType="begin"/>
            </w:r>
            <w:r w:rsidR="00DC1C2C">
              <w:rPr>
                <w:noProof/>
                <w:webHidden/>
              </w:rPr>
              <w:instrText xml:space="preserve"> PAGEREF _Toc487795103 \h </w:instrText>
            </w:r>
            <w:r w:rsidR="00DC1C2C">
              <w:rPr>
                <w:noProof/>
                <w:webHidden/>
              </w:rPr>
            </w:r>
            <w:r w:rsidR="00DC1C2C">
              <w:rPr>
                <w:noProof/>
                <w:webHidden/>
              </w:rPr>
              <w:fldChar w:fldCharType="separate"/>
            </w:r>
            <w:r>
              <w:rPr>
                <w:noProof/>
                <w:webHidden/>
              </w:rPr>
              <w:t>7</w:t>
            </w:r>
            <w:r w:rsidR="00DC1C2C">
              <w:rPr>
                <w:noProof/>
                <w:webHidden/>
              </w:rPr>
              <w:fldChar w:fldCharType="end"/>
            </w:r>
          </w:hyperlink>
        </w:p>
        <w:p w14:paraId="006BF6B2" w14:textId="1D95E367"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04" w:history="1">
            <w:r w:rsidR="00DC1C2C" w:rsidRPr="00B72896">
              <w:rPr>
                <w:rStyle w:val="Hyperlink"/>
                <w:noProof/>
              </w:rPr>
              <w:t>2.3</w:t>
            </w:r>
            <w:r w:rsidR="00DC1C2C">
              <w:rPr>
                <w:rFonts w:eastAsiaTheme="minorEastAsia" w:cstheme="minorBidi"/>
                <w:smallCaps w:val="0"/>
                <w:noProof/>
                <w:sz w:val="22"/>
                <w:szCs w:val="22"/>
                <w:lang w:val="en-NZ" w:eastAsia="en-NZ" w:bidi="ar-SA"/>
              </w:rPr>
              <w:tab/>
            </w:r>
            <w:r w:rsidR="00DC1C2C" w:rsidRPr="00B72896">
              <w:rPr>
                <w:rStyle w:val="Hyperlink"/>
                <w:noProof/>
              </w:rPr>
              <w:t>Risk management</w:t>
            </w:r>
            <w:r w:rsidR="00DC1C2C">
              <w:rPr>
                <w:noProof/>
                <w:webHidden/>
              </w:rPr>
              <w:tab/>
            </w:r>
            <w:r w:rsidR="00DC1C2C">
              <w:rPr>
                <w:noProof/>
                <w:webHidden/>
              </w:rPr>
              <w:fldChar w:fldCharType="begin"/>
            </w:r>
            <w:r w:rsidR="00DC1C2C">
              <w:rPr>
                <w:noProof/>
                <w:webHidden/>
              </w:rPr>
              <w:instrText xml:space="preserve"> PAGEREF _Toc487795104 \h </w:instrText>
            </w:r>
            <w:r w:rsidR="00DC1C2C">
              <w:rPr>
                <w:noProof/>
                <w:webHidden/>
              </w:rPr>
            </w:r>
            <w:r w:rsidR="00DC1C2C">
              <w:rPr>
                <w:noProof/>
                <w:webHidden/>
              </w:rPr>
              <w:fldChar w:fldCharType="separate"/>
            </w:r>
            <w:r>
              <w:rPr>
                <w:noProof/>
                <w:webHidden/>
              </w:rPr>
              <w:t>7</w:t>
            </w:r>
            <w:r w:rsidR="00DC1C2C">
              <w:rPr>
                <w:noProof/>
                <w:webHidden/>
              </w:rPr>
              <w:fldChar w:fldCharType="end"/>
            </w:r>
          </w:hyperlink>
        </w:p>
        <w:p w14:paraId="48E3C0FD" w14:textId="2EC62399"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05" w:history="1">
            <w:r w:rsidR="00DC1C2C" w:rsidRPr="00B72896">
              <w:rPr>
                <w:rStyle w:val="Hyperlink"/>
                <w:noProof/>
              </w:rPr>
              <w:t>2.3.1</w:t>
            </w:r>
            <w:r w:rsidR="00DC1C2C">
              <w:rPr>
                <w:rFonts w:eastAsiaTheme="minorEastAsia" w:cstheme="minorBidi"/>
                <w:i w:val="0"/>
                <w:iCs w:val="0"/>
                <w:noProof/>
                <w:sz w:val="22"/>
                <w:szCs w:val="22"/>
                <w:lang w:val="en-NZ" w:eastAsia="en-NZ" w:bidi="ar-SA"/>
              </w:rPr>
              <w:tab/>
            </w:r>
            <w:r w:rsidR="00DC1C2C" w:rsidRPr="00B72896">
              <w:rPr>
                <w:rStyle w:val="Hyperlink"/>
                <w:noProof/>
              </w:rPr>
              <w:t>Levels of addition</w:t>
            </w:r>
            <w:r w:rsidR="00DC1C2C">
              <w:rPr>
                <w:noProof/>
                <w:webHidden/>
              </w:rPr>
              <w:tab/>
            </w:r>
            <w:r w:rsidR="00DC1C2C">
              <w:rPr>
                <w:noProof/>
                <w:webHidden/>
              </w:rPr>
              <w:fldChar w:fldCharType="begin"/>
            </w:r>
            <w:r w:rsidR="00DC1C2C">
              <w:rPr>
                <w:noProof/>
                <w:webHidden/>
              </w:rPr>
              <w:instrText xml:space="preserve"> PAGEREF _Toc487795105 \h </w:instrText>
            </w:r>
            <w:r w:rsidR="00DC1C2C">
              <w:rPr>
                <w:noProof/>
                <w:webHidden/>
              </w:rPr>
            </w:r>
            <w:r w:rsidR="00DC1C2C">
              <w:rPr>
                <w:noProof/>
                <w:webHidden/>
              </w:rPr>
              <w:fldChar w:fldCharType="separate"/>
            </w:r>
            <w:r>
              <w:rPr>
                <w:noProof/>
                <w:webHidden/>
              </w:rPr>
              <w:t>7</w:t>
            </w:r>
            <w:r w:rsidR="00DC1C2C">
              <w:rPr>
                <w:noProof/>
                <w:webHidden/>
              </w:rPr>
              <w:fldChar w:fldCharType="end"/>
            </w:r>
          </w:hyperlink>
        </w:p>
        <w:p w14:paraId="646F77D6" w14:textId="269BA10A"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06" w:history="1">
            <w:r w:rsidR="00DC1C2C" w:rsidRPr="00B72896">
              <w:rPr>
                <w:rStyle w:val="Hyperlink"/>
                <w:noProof/>
              </w:rPr>
              <w:t>2.3.2</w:t>
            </w:r>
            <w:r w:rsidR="00DC1C2C">
              <w:rPr>
                <w:rFonts w:eastAsiaTheme="minorEastAsia" w:cstheme="minorBidi"/>
                <w:i w:val="0"/>
                <w:iCs w:val="0"/>
                <w:noProof/>
                <w:sz w:val="22"/>
                <w:szCs w:val="22"/>
                <w:lang w:val="en-NZ" w:eastAsia="en-NZ" w:bidi="ar-SA"/>
              </w:rPr>
              <w:tab/>
            </w:r>
            <w:r w:rsidR="00DC1C2C" w:rsidRPr="00B72896">
              <w:rPr>
                <w:rStyle w:val="Hyperlink"/>
                <w:noProof/>
              </w:rPr>
              <w:t>Specifications</w:t>
            </w:r>
            <w:r w:rsidR="00DC1C2C">
              <w:rPr>
                <w:noProof/>
                <w:webHidden/>
              </w:rPr>
              <w:tab/>
            </w:r>
            <w:r w:rsidR="00DC1C2C">
              <w:rPr>
                <w:noProof/>
                <w:webHidden/>
              </w:rPr>
              <w:fldChar w:fldCharType="begin"/>
            </w:r>
            <w:r w:rsidR="00DC1C2C">
              <w:rPr>
                <w:noProof/>
                <w:webHidden/>
              </w:rPr>
              <w:instrText xml:space="preserve"> PAGEREF _Toc487795106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23552E73" w14:textId="10408297"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07" w:history="1">
            <w:r w:rsidR="00DC1C2C" w:rsidRPr="00B72896">
              <w:rPr>
                <w:rStyle w:val="Hyperlink"/>
                <w:noProof/>
              </w:rPr>
              <w:t>2.3.3</w:t>
            </w:r>
            <w:r w:rsidR="00DC1C2C">
              <w:rPr>
                <w:rFonts w:eastAsiaTheme="minorEastAsia" w:cstheme="minorBidi"/>
                <w:i w:val="0"/>
                <w:iCs w:val="0"/>
                <w:noProof/>
                <w:sz w:val="22"/>
                <w:szCs w:val="22"/>
                <w:lang w:val="en-NZ" w:eastAsia="en-NZ" w:bidi="ar-SA"/>
              </w:rPr>
              <w:tab/>
            </w:r>
            <w:r w:rsidR="00DC1C2C" w:rsidRPr="00B72896">
              <w:rPr>
                <w:rStyle w:val="Hyperlink"/>
                <w:noProof/>
              </w:rPr>
              <w:t>Labelling</w:t>
            </w:r>
            <w:r w:rsidR="00DC1C2C">
              <w:rPr>
                <w:noProof/>
                <w:webHidden/>
              </w:rPr>
              <w:tab/>
            </w:r>
            <w:r w:rsidR="00DC1C2C">
              <w:rPr>
                <w:noProof/>
                <w:webHidden/>
              </w:rPr>
              <w:fldChar w:fldCharType="begin"/>
            </w:r>
            <w:r w:rsidR="00DC1C2C">
              <w:rPr>
                <w:noProof/>
                <w:webHidden/>
              </w:rPr>
              <w:instrText xml:space="preserve"> PAGEREF _Toc487795107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15E3C639" w14:textId="03EAD502"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08" w:history="1">
            <w:r w:rsidR="00DC1C2C" w:rsidRPr="00B72896">
              <w:rPr>
                <w:rStyle w:val="Hyperlink"/>
                <w:noProof/>
              </w:rPr>
              <w:t>2.4</w:t>
            </w:r>
            <w:r w:rsidR="00DC1C2C">
              <w:rPr>
                <w:rFonts w:eastAsiaTheme="minorEastAsia" w:cstheme="minorBidi"/>
                <w:smallCaps w:val="0"/>
                <w:noProof/>
                <w:sz w:val="22"/>
                <w:szCs w:val="22"/>
                <w:lang w:val="en-NZ" w:eastAsia="en-NZ" w:bidi="ar-SA"/>
              </w:rPr>
              <w:tab/>
            </w:r>
            <w:r w:rsidR="00DC1C2C" w:rsidRPr="00B72896">
              <w:rPr>
                <w:rStyle w:val="Hyperlink"/>
                <w:noProof/>
              </w:rPr>
              <w:t>Risk communication</w:t>
            </w:r>
            <w:r w:rsidR="00DC1C2C">
              <w:rPr>
                <w:noProof/>
                <w:webHidden/>
              </w:rPr>
              <w:tab/>
            </w:r>
            <w:r w:rsidR="00DC1C2C">
              <w:rPr>
                <w:noProof/>
                <w:webHidden/>
              </w:rPr>
              <w:fldChar w:fldCharType="begin"/>
            </w:r>
            <w:r w:rsidR="00DC1C2C">
              <w:rPr>
                <w:noProof/>
                <w:webHidden/>
              </w:rPr>
              <w:instrText xml:space="preserve"> PAGEREF _Toc487795108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5E384761" w14:textId="06D2BB4A"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09" w:history="1">
            <w:r w:rsidR="00DC1C2C" w:rsidRPr="00B72896">
              <w:rPr>
                <w:rStyle w:val="Hyperlink"/>
                <w:noProof/>
              </w:rPr>
              <w:t>2.4.1</w:t>
            </w:r>
            <w:r w:rsidR="00DC1C2C">
              <w:rPr>
                <w:rFonts w:eastAsiaTheme="minorEastAsia" w:cstheme="minorBidi"/>
                <w:i w:val="0"/>
                <w:iCs w:val="0"/>
                <w:noProof/>
                <w:sz w:val="22"/>
                <w:szCs w:val="22"/>
                <w:lang w:val="en-NZ" w:eastAsia="en-NZ" w:bidi="ar-SA"/>
              </w:rPr>
              <w:tab/>
            </w:r>
            <w:r w:rsidR="00DC1C2C" w:rsidRPr="00B72896">
              <w:rPr>
                <w:rStyle w:val="Hyperlink"/>
                <w:noProof/>
              </w:rPr>
              <w:t>Consultation</w:t>
            </w:r>
            <w:r w:rsidR="00DC1C2C">
              <w:rPr>
                <w:noProof/>
                <w:webHidden/>
              </w:rPr>
              <w:tab/>
            </w:r>
            <w:r w:rsidR="00DC1C2C">
              <w:rPr>
                <w:noProof/>
                <w:webHidden/>
              </w:rPr>
              <w:fldChar w:fldCharType="begin"/>
            </w:r>
            <w:r w:rsidR="00DC1C2C">
              <w:rPr>
                <w:noProof/>
                <w:webHidden/>
              </w:rPr>
              <w:instrText xml:space="preserve"> PAGEREF _Toc487795109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301749CD" w14:textId="7FF5AF86" w:rsidR="00DC1C2C" w:rsidRDefault="00C17206">
          <w:pPr>
            <w:pStyle w:val="TOC2"/>
            <w:tabs>
              <w:tab w:val="left" w:pos="880"/>
              <w:tab w:val="right" w:leader="dot" w:pos="9060"/>
            </w:tabs>
            <w:rPr>
              <w:rFonts w:eastAsiaTheme="minorEastAsia" w:cstheme="minorBidi"/>
              <w:smallCaps w:val="0"/>
              <w:noProof/>
              <w:sz w:val="22"/>
              <w:szCs w:val="22"/>
              <w:lang w:val="en-NZ" w:eastAsia="en-NZ" w:bidi="ar-SA"/>
            </w:rPr>
          </w:pPr>
          <w:hyperlink w:anchor="_Toc487795110" w:history="1">
            <w:r w:rsidR="00DC1C2C" w:rsidRPr="00B72896">
              <w:rPr>
                <w:rStyle w:val="Hyperlink"/>
                <w:noProof/>
              </w:rPr>
              <w:t>2.5</w:t>
            </w:r>
            <w:r w:rsidR="00DC1C2C">
              <w:rPr>
                <w:rFonts w:eastAsiaTheme="minorEastAsia" w:cstheme="minorBidi"/>
                <w:smallCaps w:val="0"/>
                <w:noProof/>
                <w:sz w:val="22"/>
                <w:szCs w:val="22"/>
                <w:lang w:val="en-NZ" w:eastAsia="en-NZ" w:bidi="ar-SA"/>
              </w:rPr>
              <w:tab/>
            </w:r>
            <w:r w:rsidR="00DC1C2C" w:rsidRPr="00B72896">
              <w:rPr>
                <w:rStyle w:val="Hyperlink"/>
                <w:noProof/>
              </w:rPr>
              <w:t>FSANZ Act assessment requirements</w:t>
            </w:r>
            <w:r w:rsidR="00DC1C2C">
              <w:rPr>
                <w:noProof/>
                <w:webHidden/>
              </w:rPr>
              <w:tab/>
            </w:r>
            <w:r w:rsidR="00DC1C2C">
              <w:rPr>
                <w:noProof/>
                <w:webHidden/>
              </w:rPr>
              <w:fldChar w:fldCharType="begin"/>
            </w:r>
            <w:r w:rsidR="00DC1C2C">
              <w:rPr>
                <w:noProof/>
                <w:webHidden/>
              </w:rPr>
              <w:instrText xml:space="preserve"> PAGEREF _Toc487795110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08771717" w14:textId="01B86297"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11" w:history="1">
            <w:r w:rsidR="00DC1C2C" w:rsidRPr="00B72896">
              <w:rPr>
                <w:rStyle w:val="Hyperlink"/>
                <w:noProof/>
              </w:rPr>
              <w:t>2.5.1</w:t>
            </w:r>
            <w:r w:rsidR="00DC1C2C">
              <w:rPr>
                <w:rFonts w:eastAsiaTheme="minorEastAsia" w:cstheme="minorBidi"/>
                <w:i w:val="0"/>
                <w:iCs w:val="0"/>
                <w:noProof/>
                <w:sz w:val="22"/>
                <w:szCs w:val="22"/>
                <w:lang w:val="en-NZ" w:eastAsia="en-NZ" w:bidi="ar-SA"/>
              </w:rPr>
              <w:tab/>
            </w:r>
            <w:r w:rsidR="00DC1C2C" w:rsidRPr="00B72896">
              <w:rPr>
                <w:rStyle w:val="Hyperlink"/>
                <w:noProof/>
              </w:rPr>
              <w:t>Section 29</w:t>
            </w:r>
            <w:r w:rsidR="00DC1C2C">
              <w:rPr>
                <w:noProof/>
                <w:webHidden/>
              </w:rPr>
              <w:tab/>
            </w:r>
            <w:r w:rsidR="00DC1C2C">
              <w:rPr>
                <w:noProof/>
                <w:webHidden/>
              </w:rPr>
              <w:fldChar w:fldCharType="begin"/>
            </w:r>
            <w:r w:rsidR="00DC1C2C">
              <w:rPr>
                <w:noProof/>
                <w:webHidden/>
              </w:rPr>
              <w:instrText xml:space="preserve"> PAGEREF _Toc487795111 \h </w:instrText>
            </w:r>
            <w:r w:rsidR="00DC1C2C">
              <w:rPr>
                <w:noProof/>
                <w:webHidden/>
              </w:rPr>
            </w:r>
            <w:r w:rsidR="00DC1C2C">
              <w:rPr>
                <w:noProof/>
                <w:webHidden/>
              </w:rPr>
              <w:fldChar w:fldCharType="separate"/>
            </w:r>
            <w:r>
              <w:rPr>
                <w:noProof/>
                <w:webHidden/>
              </w:rPr>
              <w:t>8</w:t>
            </w:r>
            <w:r w:rsidR="00DC1C2C">
              <w:rPr>
                <w:noProof/>
                <w:webHidden/>
              </w:rPr>
              <w:fldChar w:fldCharType="end"/>
            </w:r>
          </w:hyperlink>
        </w:p>
        <w:p w14:paraId="5BBD8A1F" w14:textId="0C39471D" w:rsidR="00DC1C2C" w:rsidRDefault="00C17206">
          <w:pPr>
            <w:pStyle w:val="TOC3"/>
            <w:tabs>
              <w:tab w:val="left" w:pos="1320"/>
              <w:tab w:val="right" w:leader="dot" w:pos="9060"/>
            </w:tabs>
            <w:rPr>
              <w:rFonts w:eastAsiaTheme="minorEastAsia" w:cstheme="minorBidi"/>
              <w:i w:val="0"/>
              <w:iCs w:val="0"/>
              <w:noProof/>
              <w:sz w:val="22"/>
              <w:szCs w:val="22"/>
              <w:lang w:val="en-NZ" w:eastAsia="en-NZ" w:bidi="ar-SA"/>
            </w:rPr>
          </w:pPr>
          <w:hyperlink w:anchor="_Toc487795112" w:history="1">
            <w:r w:rsidR="00DC1C2C" w:rsidRPr="00B72896">
              <w:rPr>
                <w:rStyle w:val="Hyperlink"/>
                <w:noProof/>
              </w:rPr>
              <w:t>2.5.2.</w:t>
            </w:r>
            <w:r w:rsidR="00DC1C2C">
              <w:rPr>
                <w:rFonts w:eastAsiaTheme="minorEastAsia" w:cstheme="minorBidi"/>
                <w:i w:val="0"/>
                <w:iCs w:val="0"/>
                <w:noProof/>
                <w:sz w:val="22"/>
                <w:szCs w:val="22"/>
                <w:lang w:val="en-NZ" w:eastAsia="en-NZ" w:bidi="ar-SA"/>
              </w:rPr>
              <w:tab/>
            </w:r>
            <w:r w:rsidR="00DC1C2C" w:rsidRPr="00B72896">
              <w:rPr>
                <w:rStyle w:val="Hyperlink"/>
                <w:noProof/>
              </w:rPr>
              <w:t>Subsection 18(1)</w:t>
            </w:r>
            <w:r w:rsidR="00DC1C2C">
              <w:rPr>
                <w:noProof/>
                <w:webHidden/>
              </w:rPr>
              <w:tab/>
            </w:r>
            <w:r w:rsidR="00DC1C2C">
              <w:rPr>
                <w:noProof/>
                <w:webHidden/>
              </w:rPr>
              <w:fldChar w:fldCharType="begin"/>
            </w:r>
            <w:r w:rsidR="00DC1C2C">
              <w:rPr>
                <w:noProof/>
                <w:webHidden/>
              </w:rPr>
              <w:instrText xml:space="preserve"> PAGEREF _Toc487795112 \h </w:instrText>
            </w:r>
            <w:r w:rsidR="00DC1C2C">
              <w:rPr>
                <w:noProof/>
                <w:webHidden/>
              </w:rPr>
            </w:r>
            <w:r w:rsidR="00DC1C2C">
              <w:rPr>
                <w:noProof/>
                <w:webHidden/>
              </w:rPr>
              <w:fldChar w:fldCharType="separate"/>
            </w:r>
            <w:r>
              <w:rPr>
                <w:noProof/>
                <w:webHidden/>
              </w:rPr>
              <w:t>9</w:t>
            </w:r>
            <w:r w:rsidR="00DC1C2C">
              <w:rPr>
                <w:noProof/>
                <w:webHidden/>
              </w:rPr>
              <w:fldChar w:fldCharType="end"/>
            </w:r>
          </w:hyperlink>
        </w:p>
        <w:p w14:paraId="1168AD04" w14:textId="4EDB7FCD" w:rsidR="00DC1C2C" w:rsidRDefault="00C17206">
          <w:pPr>
            <w:pStyle w:val="TOC3"/>
            <w:tabs>
              <w:tab w:val="left" w:pos="1100"/>
              <w:tab w:val="right" w:leader="dot" w:pos="9060"/>
            </w:tabs>
            <w:rPr>
              <w:rFonts w:eastAsiaTheme="minorEastAsia" w:cstheme="minorBidi"/>
              <w:i w:val="0"/>
              <w:iCs w:val="0"/>
              <w:noProof/>
              <w:sz w:val="22"/>
              <w:szCs w:val="22"/>
              <w:lang w:val="en-NZ" w:eastAsia="en-NZ" w:bidi="ar-SA"/>
            </w:rPr>
          </w:pPr>
          <w:hyperlink w:anchor="_Toc487795113" w:history="1">
            <w:r w:rsidR="00DC1C2C" w:rsidRPr="00B72896">
              <w:rPr>
                <w:rStyle w:val="Hyperlink"/>
                <w:noProof/>
              </w:rPr>
              <w:t>2.5.3</w:t>
            </w:r>
            <w:r w:rsidR="00DC1C2C">
              <w:rPr>
                <w:rFonts w:eastAsiaTheme="minorEastAsia" w:cstheme="minorBidi"/>
                <w:i w:val="0"/>
                <w:iCs w:val="0"/>
                <w:noProof/>
                <w:sz w:val="22"/>
                <w:szCs w:val="22"/>
                <w:lang w:val="en-NZ" w:eastAsia="en-NZ" w:bidi="ar-SA"/>
              </w:rPr>
              <w:tab/>
            </w:r>
            <w:r w:rsidR="00DC1C2C" w:rsidRPr="00B72896">
              <w:rPr>
                <w:rStyle w:val="Hyperlink"/>
                <w:noProof/>
              </w:rPr>
              <w:t>Subsection 18(2) considerations</w:t>
            </w:r>
            <w:r w:rsidR="00DC1C2C">
              <w:rPr>
                <w:noProof/>
                <w:webHidden/>
              </w:rPr>
              <w:tab/>
            </w:r>
            <w:r w:rsidR="00DC1C2C">
              <w:rPr>
                <w:noProof/>
                <w:webHidden/>
              </w:rPr>
              <w:fldChar w:fldCharType="begin"/>
            </w:r>
            <w:r w:rsidR="00DC1C2C">
              <w:rPr>
                <w:noProof/>
                <w:webHidden/>
              </w:rPr>
              <w:instrText xml:space="preserve"> PAGEREF _Toc487795113 \h </w:instrText>
            </w:r>
            <w:r w:rsidR="00DC1C2C">
              <w:rPr>
                <w:noProof/>
                <w:webHidden/>
              </w:rPr>
            </w:r>
            <w:r w:rsidR="00DC1C2C">
              <w:rPr>
                <w:noProof/>
                <w:webHidden/>
              </w:rPr>
              <w:fldChar w:fldCharType="separate"/>
            </w:r>
            <w:r>
              <w:rPr>
                <w:noProof/>
                <w:webHidden/>
              </w:rPr>
              <w:t>10</w:t>
            </w:r>
            <w:r w:rsidR="00DC1C2C">
              <w:rPr>
                <w:noProof/>
                <w:webHidden/>
              </w:rPr>
              <w:fldChar w:fldCharType="end"/>
            </w:r>
          </w:hyperlink>
        </w:p>
        <w:p w14:paraId="77C23F8D" w14:textId="14AE31E3" w:rsidR="00DC1C2C" w:rsidRDefault="00C17206">
          <w:pPr>
            <w:pStyle w:val="TOC2"/>
            <w:tabs>
              <w:tab w:val="right" w:leader="dot" w:pos="9060"/>
            </w:tabs>
            <w:rPr>
              <w:rFonts w:eastAsiaTheme="minorEastAsia" w:cstheme="minorBidi"/>
              <w:smallCaps w:val="0"/>
              <w:noProof/>
              <w:sz w:val="22"/>
              <w:szCs w:val="22"/>
              <w:lang w:val="en-NZ" w:eastAsia="en-NZ" w:bidi="ar-SA"/>
            </w:rPr>
          </w:pPr>
          <w:hyperlink w:anchor="_Toc487795114" w:history="1">
            <w:r w:rsidR="00DC1C2C" w:rsidRPr="00B72896">
              <w:rPr>
                <w:rStyle w:val="Hyperlink"/>
                <w:noProof/>
              </w:rPr>
              <w:t xml:space="preserve">Attachment A – Approved draft variation to the </w:t>
            </w:r>
            <w:r w:rsidR="00DC1C2C" w:rsidRPr="00B72896">
              <w:rPr>
                <w:rStyle w:val="Hyperlink"/>
                <w:i/>
                <w:noProof/>
              </w:rPr>
              <w:t>Australia New Zealand Food Standards Code</w:t>
            </w:r>
            <w:r w:rsidR="00DC1C2C">
              <w:rPr>
                <w:noProof/>
                <w:webHidden/>
              </w:rPr>
              <w:tab/>
            </w:r>
            <w:r w:rsidR="00DC1C2C">
              <w:rPr>
                <w:noProof/>
                <w:webHidden/>
              </w:rPr>
              <w:fldChar w:fldCharType="begin"/>
            </w:r>
            <w:r w:rsidR="00DC1C2C">
              <w:rPr>
                <w:noProof/>
                <w:webHidden/>
              </w:rPr>
              <w:instrText xml:space="preserve"> PAGEREF _Toc487795114 \h </w:instrText>
            </w:r>
            <w:r w:rsidR="00DC1C2C">
              <w:rPr>
                <w:noProof/>
                <w:webHidden/>
              </w:rPr>
            </w:r>
            <w:r w:rsidR="00DC1C2C">
              <w:rPr>
                <w:noProof/>
                <w:webHidden/>
              </w:rPr>
              <w:fldChar w:fldCharType="separate"/>
            </w:r>
            <w:r>
              <w:rPr>
                <w:noProof/>
                <w:webHidden/>
              </w:rPr>
              <w:t>12</w:t>
            </w:r>
            <w:r w:rsidR="00DC1C2C">
              <w:rPr>
                <w:noProof/>
                <w:webHidden/>
              </w:rPr>
              <w:fldChar w:fldCharType="end"/>
            </w:r>
          </w:hyperlink>
        </w:p>
        <w:p w14:paraId="720D00E7" w14:textId="4A58BDF5" w:rsidR="00DC1C2C" w:rsidRDefault="00C17206">
          <w:pPr>
            <w:pStyle w:val="TOC2"/>
            <w:tabs>
              <w:tab w:val="right" w:leader="dot" w:pos="9060"/>
            </w:tabs>
            <w:rPr>
              <w:rFonts w:eastAsiaTheme="minorEastAsia" w:cstheme="minorBidi"/>
              <w:smallCaps w:val="0"/>
              <w:noProof/>
              <w:sz w:val="22"/>
              <w:szCs w:val="22"/>
              <w:lang w:val="en-NZ" w:eastAsia="en-NZ" w:bidi="ar-SA"/>
            </w:rPr>
          </w:pPr>
          <w:hyperlink w:anchor="_Toc487795115" w:history="1">
            <w:r w:rsidR="00DC1C2C" w:rsidRPr="00B72896">
              <w:rPr>
                <w:rStyle w:val="Hyperlink"/>
                <w:noProof/>
              </w:rPr>
              <w:t>Attachment B</w:t>
            </w:r>
            <w:r w:rsidR="00DC1C2C">
              <w:rPr>
                <w:noProof/>
                <w:webHidden/>
              </w:rPr>
              <w:tab/>
            </w:r>
            <w:r w:rsidR="00DC1C2C">
              <w:rPr>
                <w:noProof/>
                <w:webHidden/>
              </w:rPr>
              <w:fldChar w:fldCharType="begin"/>
            </w:r>
            <w:r w:rsidR="00DC1C2C">
              <w:rPr>
                <w:noProof/>
                <w:webHidden/>
              </w:rPr>
              <w:instrText xml:space="preserve"> PAGEREF _Toc487795115 \h </w:instrText>
            </w:r>
            <w:r w:rsidR="00DC1C2C">
              <w:rPr>
                <w:noProof/>
                <w:webHidden/>
              </w:rPr>
            </w:r>
            <w:r w:rsidR="00DC1C2C">
              <w:rPr>
                <w:noProof/>
                <w:webHidden/>
              </w:rPr>
              <w:fldChar w:fldCharType="separate"/>
            </w:r>
            <w:r>
              <w:rPr>
                <w:noProof/>
                <w:webHidden/>
              </w:rPr>
              <w:t>14</w:t>
            </w:r>
            <w:r w:rsidR="00DC1C2C">
              <w:rPr>
                <w:noProof/>
                <w:webHidden/>
              </w:rPr>
              <w:fldChar w:fldCharType="end"/>
            </w:r>
          </w:hyperlink>
        </w:p>
        <w:p w14:paraId="77E88158" w14:textId="258C0B15" w:rsidR="00DC1C2C" w:rsidRDefault="00C17206">
          <w:pPr>
            <w:pStyle w:val="TOC2"/>
            <w:tabs>
              <w:tab w:val="right" w:leader="dot" w:pos="9060"/>
            </w:tabs>
            <w:rPr>
              <w:rFonts w:eastAsiaTheme="minorEastAsia" w:cstheme="minorBidi"/>
              <w:smallCaps w:val="0"/>
              <w:noProof/>
              <w:sz w:val="22"/>
              <w:szCs w:val="22"/>
              <w:lang w:val="en-NZ" w:eastAsia="en-NZ" w:bidi="ar-SA"/>
            </w:rPr>
          </w:pPr>
          <w:hyperlink w:anchor="_Toc487795116" w:history="1">
            <w:r w:rsidR="00DC1C2C" w:rsidRPr="00B72896">
              <w:rPr>
                <w:rStyle w:val="Hyperlink"/>
                <w:noProof/>
              </w:rPr>
              <w:t>Attachment C</w:t>
            </w:r>
            <w:r w:rsidR="00DC1C2C">
              <w:rPr>
                <w:noProof/>
                <w:webHidden/>
              </w:rPr>
              <w:tab/>
            </w:r>
            <w:r w:rsidR="00DC1C2C">
              <w:rPr>
                <w:noProof/>
                <w:webHidden/>
              </w:rPr>
              <w:fldChar w:fldCharType="begin"/>
            </w:r>
            <w:r w:rsidR="00DC1C2C">
              <w:rPr>
                <w:noProof/>
                <w:webHidden/>
              </w:rPr>
              <w:instrText xml:space="preserve"> PAGEREF _Toc487795116 \h </w:instrText>
            </w:r>
            <w:r w:rsidR="00DC1C2C">
              <w:rPr>
                <w:noProof/>
                <w:webHidden/>
              </w:rPr>
            </w:r>
            <w:r w:rsidR="00DC1C2C">
              <w:rPr>
                <w:noProof/>
                <w:webHidden/>
              </w:rPr>
              <w:fldChar w:fldCharType="separate"/>
            </w:r>
            <w:r>
              <w:rPr>
                <w:noProof/>
                <w:webHidden/>
              </w:rPr>
              <w:t>16</w:t>
            </w:r>
            <w:r w:rsidR="00DC1C2C">
              <w:rPr>
                <w:noProof/>
                <w:webHidden/>
              </w:rPr>
              <w:fldChar w:fldCharType="end"/>
            </w:r>
          </w:hyperlink>
        </w:p>
        <w:p w14:paraId="78A64AF0" w14:textId="4C05F916" w:rsidR="00E54BD8" w:rsidRDefault="00E54BD8">
          <w:r w:rsidRPr="009B2DD1">
            <w:rPr>
              <w:rFonts w:cs="Arial"/>
              <w:b/>
              <w:bCs/>
              <w:noProof/>
              <w:szCs w:val="22"/>
            </w:rPr>
            <w:fldChar w:fldCharType="end"/>
          </w:r>
        </w:p>
      </w:sdtContent>
    </w:sdt>
    <w:p w14:paraId="0F75614B" w14:textId="41055F0A" w:rsidR="00CE59AA" w:rsidRDefault="00CE59AA" w:rsidP="00CE59AA">
      <w:pPr>
        <w:rPr>
          <w:rFonts w:cs="Arial"/>
          <w:sz w:val="20"/>
          <w:szCs w:val="20"/>
        </w:rPr>
      </w:pPr>
    </w:p>
    <w:p w14:paraId="5597E812" w14:textId="255AA374" w:rsidR="007F7BF7" w:rsidRDefault="007F7BF7" w:rsidP="00CA5734"/>
    <w:p w14:paraId="3FAED68D" w14:textId="628CFB3B" w:rsidR="00A671E6" w:rsidRPr="00853B61" w:rsidRDefault="00A671E6" w:rsidP="00A671E6">
      <w:pPr>
        <w:rPr>
          <w:b/>
          <w:bCs/>
        </w:rPr>
      </w:pPr>
      <w:r w:rsidRPr="00853B61">
        <w:rPr>
          <w:b/>
          <w:bCs/>
        </w:rPr>
        <w:t>S</w:t>
      </w:r>
      <w:r w:rsidR="007C22CB" w:rsidRPr="00853B61">
        <w:rPr>
          <w:b/>
          <w:bCs/>
        </w:rPr>
        <w:t>upporting</w:t>
      </w:r>
      <w:r w:rsidR="00224E3B" w:rsidRPr="00853B61">
        <w:rPr>
          <w:b/>
          <w:bCs/>
        </w:rPr>
        <w:t xml:space="preserve"> document</w:t>
      </w:r>
      <w:r w:rsidRPr="00853B61">
        <w:rPr>
          <w:b/>
          <w:bCs/>
        </w:rPr>
        <w:t xml:space="preserve"> </w:t>
      </w:r>
    </w:p>
    <w:p w14:paraId="3169BB29" w14:textId="77777777" w:rsidR="00A671E6" w:rsidRPr="00853B61" w:rsidRDefault="00A671E6" w:rsidP="00A671E6">
      <w:pPr>
        <w:rPr>
          <w:szCs w:val="22"/>
        </w:rPr>
      </w:pPr>
    </w:p>
    <w:p w14:paraId="403DE8DD" w14:textId="5BB9EECC" w:rsidR="007A53BF" w:rsidRPr="00853B61" w:rsidRDefault="007A53BF" w:rsidP="007A53BF">
      <w:pPr>
        <w:rPr>
          <w:szCs w:val="22"/>
        </w:rPr>
      </w:pPr>
      <w:r w:rsidRPr="00853B61">
        <w:rPr>
          <w:szCs w:val="22"/>
        </w:rPr>
        <w:t xml:space="preserve">The </w:t>
      </w:r>
      <w:hyperlink r:id="rId21" w:history="1">
        <w:r w:rsidRPr="006826F1">
          <w:rPr>
            <w:rStyle w:val="Hyperlink"/>
            <w:szCs w:val="22"/>
          </w:rPr>
          <w:t>following documents</w:t>
        </w:r>
      </w:hyperlink>
      <w:r w:rsidR="00230B05">
        <w:rPr>
          <w:szCs w:val="22"/>
        </w:rPr>
        <w:t xml:space="preserve"> </w:t>
      </w:r>
      <w:r w:rsidRPr="00853B61">
        <w:rPr>
          <w:szCs w:val="22"/>
        </w:rPr>
        <w:t>which informed the assessment of this Application are available on the FSANZ website</w:t>
      </w:r>
      <w:r w:rsidR="00FF3E26" w:rsidRPr="00853B61">
        <w:rPr>
          <w:szCs w:val="22"/>
        </w:rPr>
        <w:t>:</w:t>
      </w:r>
    </w:p>
    <w:p w14:paraId="221B3F61" w14:textId="77777777" w:rsidR="007A53BF" w:rsidRPr="00BC4F43" w:rsidRDefault="007A53BF" w:rsidP="007A53BF">
      <w:pPr>
        <w:rPr>
          <w:szCs w:val="22"/>
        </w:rPr>
      </w:pPr>
    </w:p>
    <w:p w14:paraId="7B82D6C8" w14:textId="4BE64CDD" w:rsidR="00BC4F43" w:rsidRPr="00853B61" w:rsidRDefault="007A53BF" w:rsidP="00BC4F43">
      <w:pPr>
        <w:ind w:left="1134" w:hanging="1134"/>
        <w:rPr>
          <w:bCs/>
        </w:rPr>
      </w:pPr>
      <w:r w:rsidRPr="00853B61">
        <w:t>SD1</w:t>
      </w:r>
      <w:r w:rsidRPr="00853B61">
        <w:tab/>
      </w:r>
      <w:r w:rsidR="00BC4F43" w:rsidRPr="00853B61">
        <w:rPr>
          <w:bCs/>
        </w:rPr>
        <w:t>Risk and technical assessment – Application A1127</w:t>
      </w:r>
    </w:p>
    <w:p w14:paraId="3D6DCEF7" w14:textId="63453483" w:rsidR="00E54BD8" w:rsidRDefault="00E54BD8" w:rsidP="007A53BF">
      <w:pPr>
        <w:ind w:left="1134" w:hanging="1134"/>
      </w:pPr>
    </w:p>
    <w:p w14:paraId="11810FD1" w14:textId="77777777" w:rsidR="00287A9A" w:rsidRPr="00230B05" w:rsidRDefault="00287A9A">
      <w:pPr>
        <w:widowControl/>
        <w:rPr>
          <w:b/>
          <w:bCs/>
          <w:color w:val="000000" w:themeColor="text1"/>
          <w:sz w:val="36"/>
          <w:szCs w:val="28"/>
          <w:lang w:bidi="ar-SA"/>
        </w:rPr>
      </w:pPr>
      <w:bookmarkStart w:id="0" w:name="_Toc286391001"/>
      <w:bookmarkStart w:id="1" w:name="_Toc300933414"/>
      <w:bookmarkStart w:id="2" w:name="_Toc370223463"/>
      <w:bookmarkStart w:id="3" w:name="_Toc485047310"/>
      <w:bookmarkStart w:id="4" w:name="_Toc11735627"/>
      <w:bookmarkStart w:id="5" w:name="_Toc29883110"/>
      <w:bookmarkStart w:id="6" w:name="_Toc41906797"/>
      <w:bookmarkStart w:id="7" w:name="_Toc41907544"/>
      <w:bookmarkStart w:id="8" w:name="_Toc120358575"/>
      <w:r>
        <w:br w:type="page"/>
      </w:r>
    </w:p>
    <w:p w14:paraId="04335A34" w14:textId="3E745F84" w:rsidR="007A53BF" w:rsidRPr="00230B05" w:rsidRDefault="007A53BF" w:rsidP="00CE59AA">
      <w:pPr>
        <w:pStyle w:val="Heading1"/>
        <w:rPr>
          <w:color w:val="000000" w:themeColor="text1"/>
        </w:rPr>
      </w:pPr>
      <w:bookmarkStart w:id="9" w:name="_Toc487795092"/>
      <w:r w:rsidRPr="00230B05">
        <w:rPr>
          <w:color w:val="000000" w:themeColor="text1"/>
        </w:rPr>
        <w:lastRenderedPageBreak/>
        <w:t>Executive summary</w:t>
      </w:r>
      <w:bookmarkEnd w:id="0"/>
      <w:bookmarkEnd w:id="1"/>
      <w:bookmarkEnd w:id="2"/>
      <w:bookmarkEnd w:id="3"/>
      <w:bookmarkEnd w:id="9"/>
    </w:p>
    <w:p w14:paraId="2538F09B" w14:textId="7641D925" w:rsidR="00BC4F43" w:rsidRPr="00BC4F43" w:rsidRDefault="00BC4F43" w:rsidP="00BC4F43">
      <w:pPr>
        <w:rPr>
          <w:lang w:bidi="ar-SA"/>
        </w:rPr>
      </w:pPr>
      <w:r w:rsidRPr="00BC4F43">
        <w:rPr>
          <w:lang w:bidi="ar-SA"/>
        </w:rPr>
        <w:t>The Winemakers’ Federation of Australia (WFA)</w:t>
      </w:r>
      <w:r w:rsidR="000E1211">
        <w:rPr>
          <w:lang w:bidi="ar-SA"/>
        </w:rPr>
        <w:t xml:space="preserve"> </w:t>
      </w:r>
      <w:r w:rsidRPr="00BC4F43">
        <w:rPr>
          <w:lang w:bidi="ar-SA"/>
        </w:rPr>
        <w:t xml:space="preserve">applied to FSANZ to permit </w:t>
      </w:r>
      <w:r w:rsidR="00932E77" w:rsidRPr="00BC4F43">
        <w:rPr>
          <w:lang w:bidi="ar-SA"/>
        </w:rPr>
        <w:t>fo</w:t>
      </w:r>
      <w:r w:rsidR="00932E77">
        <w:rPr>
          <w:lang w:bidi="ar-SA"/>
        </w:rPr>
        <w:t>ur</w:t>
      </w:r>
      <w:r w:rsidR="00932E77" w:rsidRPr="00BC4F43">
        <w:rPr>
          <w:lang w:bidi="ar-SA"/>
        </w:rPr>
        <w:t xml:space="preserve"> </w:t>
      </w:r>
      <w:r w:rsidRPr="00BC4F43">
        <w:rPr>
          <w:lang w:bidi="ar-SA"/>
        </w:rPr>
        <w:t xml:space="preserve">processing aids </w:t>
      </w:r>
      <w:r w:rsidR="00C40B78">
        <w:rPr>
          <w:lang w:bidi="ar-SA"/>
        </w:rPr>
        <w:t xml:space="preserve">related to wine </w:t>
      </w:r>
      <w:r w:rsidR="00E50596" w:rsidRPr="00E50596">
        <w:rPr>
          <w:lang w:bidi="ar-SA"/>
        </w:rPr>
        <w:t>manufacture</w:t>
      </w:r>
      <w:r w:rsidR="00E50596">
        <w:rPr>
          <w:lang w:bidi="ar-SA"/>
        </w:rPr>
        <w:t xml:space="preserve"> </w:t>
      </w:r>
      <w:r w:rsidR="000E1211">
        <w:rPr>
          <w:lang w:bidi="ar-SA"/>
        </w:rPr>
        <w:t>in Australia. The processing aids are also used in other countries</w:t>
      </w:r>
      <w:r w:rsidR="00D84848">
        <w:rPr>
          <w:lang w:bidi="ar-SA"/>
        </w:rPr>
        <w:t>.</w:t>
      </w:r>
      <w:r w:rsidRPr="00BC4F43">
        <w:rPr>
          <w:lang w:bidi="ar-SA"/>
        </w:rPr>
        <w:t xml:space="preserve"> </w:t>
      </w:r>
      <w:r w:rsidR="00D84848">
        <w:rPr>
          <w:lang w:bidi="ar-SA"/>
        </w:rPr>
        <w:t>E</w:t>
      </w:r>
      <w:r w:rsidRPr="00BC4F43">
        <w:rPr>
          <w:lang w:bidi="ar-SA"/>
        </w:rPr>
        <w:t xml:space="preserve">ach </w:t>
      </w:r>
      <w:r w:rsidR="00D84848">
        <w:rPr>
          <w:lang w:bidi="ar-SA"/>
        </w:rPr>
        <w:t>of the processing aids (</w:t>
      </w:r>
      <w:r w:rsidR="00D84848" w:rsidRPr="00BC4F43">
        <w:t xml:space="preserve">chitin-glucan, PVI/PVP co-polymers, ammonium bisulphite </w:t>
      </w:r>
      <w:r w:rsidR="00932E77">
        <w:t>(ammonium hydrogen sulphite)</w:t>
      </w:r>
      <w:r w:rsidR="00D84848" w:rsidRPr="00BC4F43">
        <w:t xml:space="preserve"> </w:t>
      </w:r>
      <w:r w:rsidR="00673965" w:rsidRPr="00BC4F43">
        <w:t>and silver</w:t>
      </w:r>
      <w:r w:rsidR="00D84848" w:rsidRPr="00BC4F43">
        <w:t xml:space="preserve"> chloride</w:t>
      </w:r>
      <w:r w:rsidR="00D84848">
        <w:t>)</w:t>
      </w:r>
      <w:r w:rsidR="00D84848">
        <w:rPr>
          <w:lang w:bidi="ar-SA"/>
        </w:rPr>
        <w:t xml:space="preserve"> </w:t>
      </w:r>
      <w:proofErr w:type="gramStart"/>
      <w:r w:rsidR="00D84848">
        <w:rPr>
          <w:lang w:bidi="ar-SA"/>
        </w:rPr>
        <w:t>ha</w:t>
      </w:r>
      <w:r w:rsidR="00601829">
        <w:rPr>
          <w:lang w:bidi="ar-SA"/>
        </w:rPr>
        <w:t>ve</w:t>
      </w:r>
      <w:proofErr w:type="gramEnd"/>
      <w:r w:rsidR="00601829">
        <w:rPr>
          <w:lang w:bidi="ar-SA"/>
        </w:rPr>
        <w:t xml:space="preserve"> </w:t>
      </w:r>
      <w:r w:rsidRPr="00BC4F43">
        <w:t>different technological function</w:t>
      </w:r>
      <w:r w:rsidR="00C83984">
        <w:t>s</w:t>
      </w:r>
      <w:r w:rsidR="00D84848">
        <w:rPr>
          <w:lang w:bidi="ar-SA"/>
        </w:rPr>
        <w:t>.</w:t>
      </w:r>
    </w:p>
    <w:p w14:paraId="14732F9F" w14:textId="77777777" w:rsidR="00BC4F43" w:rsidRPr="00BC4F43" w:rsidRDefault="00BC4F43" w:rsidP="00BC4F43">
      <w:pPr>
        <w:rPr>
          <w:lang w:bidi="ar-SA"/>
        </w:rPr>
      </w:pPr>
    </w:p>
    <w:p w14:paraId="21F69AEA" w14:textId="7E0D046E" w:rsidR="00BC4F43" w:rsidRPr="00BC4F43" w:rsidRDefault="00BC4F43" w:rsidP="00BC4F43">
      <w:pPr>
        <w:rPr>
          <w:lang w:bidi="ar-SA"/>
        </w:rPr>
      </w:pPr>
      <w:r w:rsidRPr="00BC4F43">
        <w:rPr>
          <w:lang w:bidi="ar-SA"/>
        </w:rPr>
        <w:t xml:space="preserve">The </w:t>
      </w:r>
      <w:r w:rsidRPr="00BC4F43">
        <w:t>European Union (</w:t>
      </w:r>
      <w:r w:rsidRPr="00BC4F43">
        <w:rPr>
          <w:lang w:bidi="ar-SA"/>
        </w:rPr>
        <w:t xml:space="preserve">EU) </w:t>
      </w:r>
      <w:r w:rsidR="00C83984">
        <w:rPr>
          <w:lang w:bidi="ar-SA"/>
        </w:rPr>
        <w:t xml:space="preserve">already </w:t>
      </w:r>
      <w:r w:rsidRPr="00BC4F43">
        <w:rPr>
          <w:lang w:bidi="ar-SA"/>
        </w:rPr>
        <w:t xml:space="preserve">permits </w:t>
      </w:r>
      <w:r w:rsidR="00C83984" w:rsidRPr="00BC4F43">
        <w:rPr>
          <w:lang w:bidi="ar-SA"/>
        </w:rPr>
        <w:t>the</w:t>
      </w:r>
      <w:r w:rsidR="00C83984">
        <w:rPr>
          <w:lang w:bidi="ar-SA"/>
        </w:rPr>
        <w:t xml:space="preserve"> four</w:t>
      </w:r>
      <w:r w:rsidR="00C83984" w:rsidRPr="00BC4F43">
        <w:rPr>
          <w:lang w:bidi="ar-SA"/>
        </w:rPr>
        <w:t xml:space="preserve"> </w:t>
      </w:r>
      <w:r w:rsidRPr="00BC4F43">
        <w:rPr>
          <w:lang w:bidi="ar-SA"/>
        </w:rPr>
        <w:t xml:space="preserve">processing aids and </w:t>
      </w:r>
      <w:r w:rsidR="00C83984">
        <w:rPr>
          <w:lang w:bidi="ar-SA"/>
        </w:rPr>
        <w:t>has</w:t>
      </w:r>
      <w:r w:rsidRPr="00BC4F43">
        <w:rPr>
          <w:lang w:bidi="ar-SA"/>
        </w:rPr>
        <w:t xml:space="preserve"> f</w:t>
      </w:r>
      <w:r w:rsidRPr="00BC4F43">
        <w:t xml:space="preserve">ormally requested </w:t>
      </w:r>
      <w:r w:rsidR="00C83984">
        <w:t xml:space="preserve">that </w:t>
      </w:r>
      <w:r w:rsidRPr="00BC4F43">
        <w:t>Australia authorise the</w:t>
      </w:r>
      <w:r w:rsidR="00C83984">
        <w:t>m</w:t>
      </w:r>
      <w:r w:rsidRPr="00BC4F43">
        <w:t xml:space="preserve">. </w:t>
      </w:r>
      <w:r w:rsidR="00C83984">
        <w:t>On this basis</w:t>
      </w:r>
      <w:r w:rsidRPr="00BC4F43">
        <w:t>, the WFA submitted th</w:t>
      </w:r>
      <w:r w:rsidR="000E1211">
        <w:t>e</w:t>
      </w:r>
      <w:r w:rsidRPr="00BC4F43">
        <w:t xml:space="preserve"> Application to </w:t>
      </w:r>
      <w:r w:rsidRPr="00BC4F43">
        <w:rPr>
          <w:lang w:val="en-AU" w:bidi="ar-SA"/>
        </w:rPr>
        <w:t>enable Australia to fulfil its treaty obligations under the Wine Agreement and satisfy the World Trade Organisation obligations to ensure equal treatment with its trading partners.</w:t>
      </w:r>
      <w:r w:rsidRPr="00BC4F43">
        <w:rPr>
          <w:lang w:bidi="ar-SA"/>
        </w:rPr>
        <w:t xml:space="preserve"> </w:t>
      </w:r>
    </w:p>
    <w:p w14:paraId="0CA1C6AC" w14:textId="77777777" w:rsidR="00BC4F43" w:rsidRPr="00BC4F43" w:rsidRDefault="00BC4F43" w:rsidP="00BC4F43">
      <w:pPr>
        <w:rPr>
          <w:lang w:bidi="ar-SA"/>
        </w:rPr>
      </w:pPr>
    </w:p>
    <w:p w14:paraId="354F68C9" w14:textId="48CBDC82" w:rsidR="00BC4F43" w:rsidRPr="00413FBD" w:rsidRDefault="00BC4F43" w:rsidP="00BC4F43">
      <w:pPr>
        <w:rPr>
          <w:lang w:bidi="ar-SA"/>
        </w:rPr>
      </w:pPr>
      <w:r w:rsidRPr="00BC4F43">
        <w:rPr>
          <w:lang w:bidi="ar-SA"/>
        </w:rPr>
        <w:t xml:space="preserve">FSANZ determined that there </w:t>
      </w:r>
      <w:r w:rsidR="00853B61">
        <w:rPr>
          <w:lang w:bidi="ar-SA"/>
        </w:rPr>
        <w:t>was</w:t>
      </w:r>
      <w:r w:rsidR="00853B61" w:rsidRPr="00BC4F43">
        <w:rPr>
          <w:lang w:bidi="ar-SA"/>
        </w:rPr>
        <w:t xml:space="preserve"> </w:t>
      </w:r>
      <w:r w:rsidRPr="00BC4F43">
        <w:rPr>
          <w:lang w:bidi="ar-SA"/>
        </w:rPr>
        <w:t xml:space="preserve">sufficient evidence to provide assurance that the processing aids are technologically justified and are effective in achieving their stated purpose. </w:t>
      </w:r>
      <w:r w:rsidR="00EB6B71">
        <w:rPr>
          <w:lang w:bidi="ar-SA"/>
        </w:rPr>
        <w:t xml:space="preserve">The four processing aids met specifications for identity and purity </w:t>
      </w:r>
      <w:r w:rsidR="000E1211">
        <w:rPr>
          <w:lang w:bidi="ar-SA"/>
        </w:rPr>
        <w:t xml:space="preserve">set </w:t>
      </w:r>
      <w:r w:rsidRPr="00BC4F43">
        <w:rPr>
          <w:lang w:bidi="ar-SA"/>
        </w:rPr>
        <w:t>by the International Organisation of Vine and Wine</w:t>
      </w:r>
      <w:r w:rsidR="00EB6B71">
        <w:rPr>
          <w:lang w:bidi="ar-SA"/>
        </w:rPr>
        <w:t>, which is</w:t>
      </w:r>
      <w:r w:rsidRPr="00BC4F43">
        <w:rPr>
          <w:lang w:bidi="ar-SA"/>
        </w:rPr>
        <w:t xml:space="preserve"> adopted as a secondary source in section S3—3(j) of Schedule 3 – Identity and purity, in the </w:t>
      </w:r>
      <w:r w:rsidRPr="00BC4F43">
        <w:rPr>
          <w:i/>
          <w:lang w:bidi="ar-SA"/>
        </w:rPr>
        <w:t>Australia New Zealand Food Standards Cod</w:t>
      </w:r>
      <w:r w:rsidRPr="00BC4F43">
        <w:rPr>
          <w:lang w:bidi="ar-SA"/>
        </w:rPr>
        <w:t>e (</w:t>
      </w:r>
      <w:r w:rsidR="00601829">
        <w:rPr>
          <w:lang w:bidi="ar-SA"/>
        </w:rPr>
        <w:t xml:space="preserve">the </w:t>
      </w:r>
      <w:r w:rsidRPr="00BC4F43">
        <w:rPr>
          <w:lang w:bidi="ar-SA"/>
        </w:rPr>
        <w:t>Code).</w:t>
      </w:r>
      <w:r w:rsidRPr="00BC4F43" w:rsidDel="00F107A9">
        <w:rPr>
          <w:lang w:bidi="ar-SA"/>
        </w:rPr>
        <w:t xml:space="preserve"> </w:t>
      </w:r>
    </w:p>
    <w:p w14:paraId="4273B89E" w14:textId="77777777" w:rsidR="00BC4F43" w:rsidRPr="00BC4F43" w:rsidRDefault="00BC4F43" w:rsidP="00BC4F43"/>
    <w:p w14:paraId="02889F2C" w14:textId="47998F29" w:rsidR="00EB6B71" w:rsidRDefault="00BC4F43" w:rsidP="00BC4F43">
      <w:pPr>
        <w:widowControl/>
        <w:rPr>
          <w:rFonts w:cs="Arial"/>
          <w:lang w:bidi="ar-SA"/>
        </w:rPr>
      </w:pPr>
      <w:r w:rsidRPr="00BC4F43">
        <w:rPr>
          <w:rFonts w:cs="Arial"/>
          <w:lang w:bidi="ar-SA"/>
        </w:rPr>
        <w:t>FSANZ</w:t>
      </w:r>
      <w:r w:rsidR="00EB6B71">
        <w:rPr>
          <w:rFonts w:cs="Arial"/>
          <w:lang w:bidi="ar-SA"/>
        </w:rPr>
        <w:t xml:space="preserve">’s risk assessment concluded that there would be no public health and safety </w:t>
      </w:r>
      <w:r w:rsidR="00E5465B">
        <w:rPr>
          <w:rFonts w:cs="Arial"/>
          <w:lang w:bidi="ar-SA"/>
        </w:rPr>
        <w:t xml:space="preserve">concerns </w:t>
      </w:r>
      <w:r w:rsidR="00EB6B71">
        <w:rPr>
          <w:rFonts w:cs="Arial"/>
          <w:lang w:bidi="ar-SA"/>
        </w:rPr>
        <w:t xml:space="preserve">associated with </w:t>
      </w:r>
      <w:r w:rsidR="000E1211">
        <w:rPr>
          <w:rFonts w:cs="Arial"/>
          <w:lang w:bidi="ar-SA"/>
        </w:rPr>
        <w:t xml:space="preserve">using </w:t>
      </w:r>
      <w:r w:rsidR="00EB6B71">
        <w:rPr>
          <w:rFonts w:cs="Arial"/>
          <w:lang w:bidi="ar-SA"/>
        </w:rPr>
        <w:t xml:space="preserve">the processing aids </w:t>
      </w:r>
      <w:r w:rsidR="000E1211">
        <w:rPr>
          <w:rFonts w:cs="Arial"/>
          <w:lang w:bidi="ar-SA"/>
        </w:rPr>
        <w:t xml:space="preserve">to produce </w:t>
      </w:r>
      <w:r w:rsidR="00EB6B71">
        <w:rPr>
          <w:rFonts w:cs="Arial"/>
          <w:lang w:bidi="ar-SA"/>
        </w:rPr>
        <w:t>wine.</w:t>
      </w:r>
    </w:p>
    <w:p w14:paraId="27F50F01" w14:textId="77777777" w:rsidR="000E1211" w:rsidRDefault="000E1211" w:rsidP="00BC4F43">
      <w:pPr>
        <w:widowControl/>
        <w:rPr>
          <w:rFonts w:cs="Arial"/>
          <w:lang w:bidi="ar-SA"/>
        </w:rPr>
      </w:pPr>
    </w:p>
    <w:p w14:paraId="6BA569AA" w14:textId="2C0C90CE" w:rsidR="00BC4F43" w:rsidRPr="00BC4F43" w:rsidRDefault="00BC4F43" w:rsidP="00BC4F43">
      <w:r w:rsidRPr="00BC4F43">
        <w:t>FSANZ note</w:t>
      </w:r>
      <w:r w:rsidR="00853B61">
        <w:t>d</w:t>
      </w:r>
      <w:r w:rsidRPr="00BC4F43">
        <w:t xml:space="preserve"> that sulphur dioxide (SO</w:t>
      </w:r>
      <w:r w:rsidRPr="00BC4F43">
        <w:rPr>
          <w:vertAlign w:val="subscript"/>
        </w:rPr>
        <w:t>2</w:t>
      </w:r>
      <w:r w:rsidRPr="00BC4F43">
        <w:t xml:space="preserve">) is </w:t>
      </w:r>
      <w:r w:rsidR="00EB6B71">
        <w:t xml:space="preserve">likely to be </w:t>
      </w:r>
      <w:r w:rsidRPr="00BC4F43">
        <w:t xml:space="preserve">produced during the breakdown of ammonium bisulphite. </w:t>
      </w:r>
      <w:r w:rsidR="000E1211">
        <w:t>A</w:t>
      </w:r>
      <w:r w:rsidRPr="00BC4F43">
        <w:t xml:space="preserve">mmonium bisulphite is </w:t>
      </w:r>
      <w:r w:rsidR="000E1211">
        <w:t xml:space="preserve">mostly used as </w:t>
      </w:r>
      <w:r w:rsidRPr="00BC4F43">
        <w:t xml:space="preserve">a yeast nutrient. </w:t>
      </w:r>
      <w:r w:rsidR="000E1211">
        <w:t>Ammonium bisulphite used as a yeast nutrient to produce wine might result in an incidental function as a preservative. If</w:t>
      </w:r>
      <w:r w:rsidRPr="00BC4F43">
        <w:t xml:space="preserve"> sulphites are present in concentrations of 10 mg/kg or more in the wine for sale, mandatory declaration is required</w:t>
      </w:r>
      <w:r w:rsidR="000E1211">
        <w:t>.</w:t>
      </w:r>
      <w:r w:rsidRPr="00BC4F43">
        <w:t xml:space="preserve"> </w:t>
      </w:r>
    </w:p>
    <w:p w14:paraId="43D39B97" w14:textId="77777777" w:rsidR="00BC4F43" w:rsidRPr="00BC4F43" w:rsidRDefault="00BC4F43" w:rsidP="00BC4F43"/>
    <w:p w14:paraId="58871CAF" w14:textId="6E36D628" w:rsidR="00BC4F43" w:rsidRDefault="00230B05" w:rsidP="00BC4F43">
      <w:pPr>
        <w:rPr>
          <w:lang w:bidi="ar-SA"/>
        </w:rPr>
      </w:pPr>
      <w:r w:rsidRPr="00230B05">
        <w:rPr>
          <w:lang w:bidi="ar-SA"/>
        </w:rPr>
        <w:t>FSANZ’s assessment was that permitting these four substances for use as processing aids in wine manufacture would provide a net benefit to the community.</w:t>
      </w:r>
    </w:p>
    <w:p w14:paraId="48C2BB76" w14:textId="77777777" w:rsidR="00230B05" w:rsidRPr="00BC4F43" w:rsidRDefault="00230B05" w:rsidP="00BC4F43"/>
    <w:p w14:paraId="52644110" w14:textId="00BF59D7" w:rsidR="00BC4F43" w:rsidRPr="00BC4F43" w:rsidRDefault="00BC4F43" w:rsidP="00BC4F43">
      <w:pPr>
        <w:rPr>
          <w:lang w:bidi="ar-SA"/>
        </w:rPr>
      </w:pPr>
      <w:r w:rsidRPr="00BC4F43">
        <w:rPr>
          <w:lang w:bidi="ar-SA"/>
        </w:rPr>
        <w:t xml:space="preserve">FSANZ therefore </w:t>
      </w:r>
      <w:r w:rsidR="00097486">
        <w:rPr>
          <w:lang w:bidi="ar-SA"/>
        </w:rPr>
        <w:t>approved</w:t>
      </w:r>
      <w:r w:rsidR="00097486" w:rsidRPr="00BC4F43">
        <w:rPr>
          <w:lang w:bidi="ar-SA"/>
        </w:rPr>
        <w:t xml:space="preserve"> </w:t>
      </w:r>
      <w:r w:rsidRPr="00BC4F43">
        <w:rPr>
          <w:lang w:bidi="ar-SA"/>
        </w:rPr>
        <w:t xml:space="preserve">a draft variation to permit the use of chitin-glucan, PVI/PVP co-polymers, ammonium bisulphite and silver chloride as processing aids at good manufacturing practice (GMP) levels </w:t>
      </w:r>
      <w:r w:rsidR="000E1211">
        <w:rPr>
          <w:lang w:bidi="ar-SA"/>
        </w:rPr>
        <w:t xml:space="preserve">to produce </w:t>
      </w:r>
      <w:r w:rsidRPr="00BC4F43">
        <w:rPr>
          <w:lang w:bidi="ar-SA"/>
        </w:rPr>
        <w:t>wine.</w:t>
      </w:r>
    </w:p>
    <w:p w14:paraId="556F3590" w14:textId="53F4942D" w:rsidR="00C836FF" w:rsidRDefault="00C836FF" w:rsidP="002421C1">
      <w:pPr>
        <w:pStyle w:val="Heading1"/>
      </w:pPr>
      <w:r>
        <w:br w:type="page"/>
      </w:r>
    </w:p>
    <w:p w14:paraId="2666C9D4" w14:textId="77777777" w:rsidR="007A53BF" w:rsidRPr="00CF436C" w:rsidRDefault="007A53BF" w:rsidP="00CE59AA">
      <w:pPr>
        <w:pStyle w:val="Heading1"/>
      </w:pPr>
      <w:bookmarkStart w:id="10" w:name="_Toc300933417"/>
      <w:bookmarkStart w:id="11" w:name="_Toc370223464"/>
      <w:bookmarkStart w:id="12" w:name="_Toc485047311"/>
      <w:bookmarkStart w:id="13" w:name="_Toc487795093"/>
      <w:r w:rsidRPr="007A53BF">
        <w:lastRenderedPageBreak/>
        <w:t>1</w:t>
      </w:r>
      <w:r w:rsidRPr="007A53BF">
        <w:tab/>
      </w:r>
      <w:r w:rsidRPr="00CF436C">
        <w:t>Introduction</w:t>
      </w:r>
      <w:bookmarkEnd w:id="10"/>
      <w:bookmarkEnd w:id="11"/>
      <w:bookmarkEnd w:id="12"/>
      <w:bookmarkEnd w:id="13"/>
    </w:p>
    <w:p w14:paraId="50598ECD" w14:textId="349828E3" w:rsidR="007A53BF" w:rsidRPr="00CF436C" w:rsidRDefault="007A53BF" w:rsidP="00CE59AA">
      <w:pPr>
        <w:pStyle w:val="Heading2"/>
      </w:pPr>
      <w:bookmarkStart w:id="14" w:name="_Toc300761890"/>
      <w:bookmarkStart w:id="15" w:name="_Toc300933419"/>
      <w:bookmarkStart w:id="16" w:name="_Toc370223465"/>
      <w:bookmarkStart w:id="17" w:name="_Toc485047312"/>
      <w:bookmarkStart w:id="18" w:name="_Toc487795094"/>
      <w:r w:rsidRPr="00CF436C">
        <w:t>1.1</w:t>
      </w:r>
      <w:r w:rsidRPr="00CF436C">
        <w:tab/>
        <w:t>The Applicant</w:t>
      </w:r>
      <w:bookmarkEnd w:id="14"/>
      <w:bookmarkEnd w:id="15"/>
      <w:bookmarkEnd w:id="16"/>
      <w:bookmarkEnd w:id="17"/>
      <w:bookmarkEnd w:id="18"/>
    </w:p>
    <w:p w14:paraId="7509981A" w14:textId="04423B59" w:rsidR="00777308" w:rsidRPr="00CF436C" w:rsidRDefault="00777308" w:rsidP="00777308">
      <w:bookmarkStart w:id="19" w:name="_Toc477421833"/>
      <w:bookmarkStart w:id="20" w:name="_Toc478021518"/>
      <w:bookmarkEnd w:id="19"/>
      <w:bookmarkEnd w:id="20"/>
      <w:r w:rsidRPr="00CF436C">
        <w:t>The Winemakers’ Federation of Australia (WFA) is the national peak body for Australia’s winemakers. In developing this Application, the WFA consulted with the Australian Department of Agriculture and Water Resources and the New Zealand Winegrowers (the national organisation for New Zealand’s grape and wine sector).</w:t>
      </w:r>
    </w:p>
    <w:p w14:paraId="1649A78D" w14:textId="7415AC83" w:rsidR="007A53BF" w:rsidRPr="00CF436C" w:rsidRDefault="007A53BF" w:rsidP="00CE59AA">
      <w:pPr>
        <w:pStyle w:val="Heading2"/>
      </w:pPr>
      <w:bookmarkStart w:id="21" w:name="_Toc300761891"/>
      <w:bookmarkStart w:id="22" w:name="_Toc300933420"/>
      <w:bookmarkStart w:id="23" w:name="_Toc370223466"/>
      <w:bookmarkStart w:id="24" w:name="_Toc485047313"/>
      <w:bookmarkStart w:id="25" w:name="_Toc487795095"/>
      <w:r w:rsidRPr="00CF436C">
        <w:t>1.2</w:t>
      </w:r>
      <w:r w:rsidRPr="00CF436C">
        <w:tab/>
        <w:t xml:space="preserve">The </w:t>
      </w:r>
      <w:r w:rsidRPr="00CF436C">
        <w:rPr>
          <w:shd w:val="clear" w:color="auto" w:fill="FFFFFF" w:themeFill="background1"/>
        </w:rPr>
        <w:t>Applicati</w:t>
      </w:r>
      <w:r w:rsidR="00777308" w:rsidRPr="00CF436C">
        <w:rPr>
          <w:shd w:val="clear" w:color="auto" w:fill="FFFFFF" w:themeFill="background1"/>
        </w:rPr>
        <w:t>on</w:t>
      </w:r>
      <w:bookmarkEnd w:id="21"/>
      <w:bookmarkEnd w:id="22"/>
      <w:bookmarkEnd w:id="23"/>
      <w:bookmarkEnd w:id="24"/>
      <w:bookmarkEnd w:id="25"/>
    </w:p>
    <w:p w14:paraId="675C06AA" w14:textId="68C7AE68" w:rsidR="00777308" w:rsidRPr="00CF436C" w:rsidRDefault="00777308" w:rsidP="00777308">
      <w:r w:rsidRPr="00CF436C">
        <w:t>The Application seeks permission for four processing aids; chitin-glucan, PVI/PVP co</w:t>
      </w:r>
      <w:r w:rsidR="00097486">
        <w:noBreakHyphen/>
      </w:r>
      <w:r w:rsidRPr="00CF436C">
        <w:t xml:space="preserve">polymers, ammonium bisulphite and silver chloride for use in wine production. The justification for the Application relates to Australia’s obligations under the Agreement between Australia and the European Community on Trade in Wine (Wine Agreement). </w:t>
      </w:r>
    </w:p>
    <w:p w14:paraId="5078A32A" w14:textId="77777777" w:rsidR="00777308" w:rsidRPr="00CF436C" w:rsidRDefault="00777308" w:rsidP="00777308"/>
    <w:p w14:paraId="3F186251" w14:textId="5D3E6E2E" w:rsidR="00777308" w:rsidRPr="00CF436C" w:rsidRDefault="00777308" w:rsidP="00777308">
      <w:r w:rsidRPr="00CF436C">
        <w:t>Under the Wine Agreement</w:t>
      </w:r>
      <w:r w:rsidR="00263C3B">
        <w:t>,</w:t>
      </w:r>
      <w:r w:rsidRPr="00CF436C">
        <w:t xml:space="preserve"> if one Contracting Party proposes to authorise a new, or modify an existing, oenological practice, process or compositional requirements for commercial use in its territory</w:t>
      </w:r>
      <w:r w:rsidR="00263C3B">
        <w:t>,</w:t>
      </w:r>
      <w:r w:rsidRPr="00CF436C">
        <w:t xml:space="preserve"> which is not authorised by the other Contracting party</w:t>
      </w:r>
      <w:r w:rsidR="00621922">
        <w:t>,</w:t>
      </w:r>
      <w:r w:rsidRPr="00CF436C">
        <w:t xml:space="preserve"> they notify the other Contracting party. The European Union (EU) formally requested Australia authorise these four processing aids, which initiated the WFA’s Application.</w:t>
      </w:r>
    </w:p>
    <w:p w14:paraId="74C3CACD" w14:textId="77777777" w:rsidR="007A53BF" w:rsidRPr="00CF436C" w:rsidRDefault="007A53BF" w:rsidP="00CE59AA">
      <w:pPr>
        <w:pStyle w:val="Heading2"/>
      </w:pPr>
      <w:bookmarkStart w:id="26" w:name="_Toc300761892"/>
      <w:bookmarkStart w:id="27" w:name="_Toc300933421"/>
      <w:bookmarkStart w:id="28" w:name="_Toc370223467"/>
      <w:bookmarkStart w:id="29" w:name="_Toc485047314"/>
      <w:bookmarkStart w:id="30" w:name="_Toc487795096"/>
      <w:r w:rsidRPr="00CF436C">
        <w:t>1.3</w:t>
      </w:r>
      <w:r w:rsidRPr="00CF436C">
        <w:tab/>
        <w:t>The current Standard</w:t>
      </w:r>
      <w:bookmarkEnd w:id="26"/>
      <w:bookmarkEnd w:id="27"/>
      <w:bookmarkEnd w:id="28"/>
      <w:bookmarkEnd w:id="29"/>
      <w:bookmarkEnd w:id="30"/>
    </w:p>
    <w:p w14:paraId="4893793A" w14:textId="77777777" w:rsidR="0032789C" w:rsidRPr="00CF436C" w:rsidRDefault="0032789C" w:rsidP="0032789C">
      <w:r w:rsidRPr="00CF436C">
        <w:t>Paragraph 1.1.1—10(6)(c) in the Code provides that a food for sale (including wine) must not have, as an ingredient or a component, a substance that is used as a processing aid, unless expressly permitted.</w:t>
      </w:r>
    </w:p>
    <w:p w14:paraId="5C9E8B99" w14:textId="77777777" w:rsidR="0032789C" w:rsidRPr="00CF436C" w:rsidRDefault="0032789C" w:rsidP="0032789C"/>
    <w:p w14:paraId="495E4B24" w14:textId="089F752C" w:rsidR="0032789C" w:rsidRPr="00CF436C" w:rsidRDefault="0032789C" w:rsidP="0032789C">
      <w:r w:rsidRPr="00CF436C">
        <w:t>Section 1.1.2—13 defines the expression ‘used as a processing aid’. That definition imposes certain requirements on substances permitted by Standard 1.3.3 and Schedule 18 to be used as a processing aid. For example, that the substance not perform a technological function in the final food for sale.</w:t>
      </w:r>
    </w:p>
    <w:p w14:paraId="417586C2" w14:textId="77777777" w:rsidR="0032789C" w:rsidRPr="00CF436C" w:rsidRDefault="0032789C" w:rsidP="0032789C"/>
    <w:p w14:paraId="54BFA2C8" w14:textId="0609C560" w:rsidR="0032789C" w:rsidRPr="00CF436C" w:rsidRDefault="0032789C" w:rsidP="0032789C">
      <w:r w:rsidRPr="00CF436C">
        <w:t xml:space="preserve">Two Standards in the Code provide permissions </w:t>
      </w:r>
      <w:r w:rsidR="00760844">
        <w:t xml:space="preserve">for the </w:t>
      </w:r>
      <w:r w:rsidRPr="00CF436C">
        <w:t xml:space="preserve">use </w:t>
      </w:r>
      <w:r w:rsidR="00263C3B">
        <w:t xml:space="preserve">of </w:t>
      </w:r>
      <w:r w:rsidRPr="00CF436C">
        <w:t xml:space="preserve">processing aids in wine </w:t>
      </w:r>
      <w:r w:rsidR="00230B05">
        <w:t>manufacture</w:t>
      </w:r>
      <w:r w:rsidRPr="00CF436C">
        <w:t>.</w:t>
      </w:r>
    </w:p>
    <w:p w14:paraId="56D4B87C" w14:textId="77777777" w:rsidR="0032789C" w:rsidRPr="00CF436C" w:rsidRDefault="0032789C" w:rsidP="0032789C"/>
    <w:p w14:paraId="39B6411E" w14:textId="33CB82EB" w:rsidR="0032789C" w:rsidRPr="00CF436C" w:rsidRDefault="0032789C" w:rsidP="0032789C">
      <w:r w:rsidRPr="00CF436C">
        <w:t>Standard 1.3.3 provides permissions for certain substances to be used as processing aids in food (including wine) sold in Australia or New Zealand. Section 1.3.3—4, for example, provides that a food additive permitted at good manufacturing practice (GMP) listed in section S16—2 and any substance listed in section S18—2 are generally permitted processing aids that may be used in these foods.</w:t>
      </w:r>
    </w:p>
    <w:p w14:paraId="1FECEE19" w14:textId="77777777" w:rsidR="0032789C" w:rsidRPr="00CF436C" w:rsidRDefault="0032789C" w:rsidP="0032789C"/>
    <w:p w14:paraId="5F76F286" w14:textId="08F90759" w:rsidR="0032789C" w:rsidRPr="00CF436C" w:rsidRDefault="0032789C" w:rsidP="0032789C">
      <w:r w:rsidRPr="00CF436C">
        <w:t>Processing aids permitted by section 1.3.3 and Schedule 18 must also meet any relevant identity and purity specifications set out in Schedule 3.</w:t>
      </w:r>
    </w:p>
    <w:p w14:paraId="7142D66B" w14:textId="77777777" w:rsidR="0032789C" w:rsidRPr="00CF436C" w:rsidRDefault="0032789C" w:rsidP="0032789C"/>
    <w:p w14:paraId="2C28BB9C" w14:textId="6621A858" w:rsidR="0032789C" w:rsidRPr="00CF436C" w:rsidRDefault="0032789C" w:rsidP="0032789C">
      <w:r w:rsidRPr="00CF436C">
        <w:t xml:space="preserve">Wine </w:t>
      </w:r>
      <w:r w:rsidR="00623CC0">
        <w:t>manufactured</w:t>
      </w:r>
      <w:r w:rsidR="00623CC0" w:rsidRPr="00CF436C">
        <w:t xml:space="preserve"> </w:t>
      </w:r>
      <w:r w:rsidRPr="00CF436C">
        <w:t xml:space="preserve">in Australia must also comply with the requirements of Standard 4.5.1 – Wine Production Requirements, which is an </w:t>
      </w:r>
      <w:r w:rsidR="00C939F8" w:rsidRPr="00CF436C">
        <w:t>Australia</w:t>
      </w:r>
      <w:r w:rsidR="00C939F8">
        <w:t>-</w:t>
      </w:r>
      <w:r w:rsidRPr="00CF436C">
        <w:t xml:space="preserve">only Standard. Only those processing aids listed in the Table to clause 4 of Standard 4.5.1 are permitted in the </w:t>
      </w:r>
      <w:r w:rsidR="00230B05" w:rsidRPr="00230B05">
        <w:t>manufacture</w:t>
      </w:r>
      <w:r w:rsidRPr="00CF436C">
        <w:t xml:space="preserve"> of wine in Australia.</w:t>
      </w:r>
    </w:p>
    <w:p w14:paraId="31B22983" w14:textId="77777777" w:rsidR="0032789C" w:rsidRPr="00CF436C" w:rsidRDefault="0032789C" w:rsidP="0032789C"/>
    <w:p w14:paraId="6B19DBBA" w14:textId="130894D1" w:rsidR="0032789C" w:rsidRPr="00CF436C" w:rsidRDefault="0032789C" w:rsidP="0032789C">
      <w:pPr>
        <w:rPr>
          <w:b/>
          <w:bCs/>
        </w:rPr>
      </w:pPr>
      <w:r w:rsidRPr="00CF436C">
        <w:t xml:space="preserve">Neither Standard 1.3.3, 4.5.1 </w:t>
      </w:r>
      <w:r w:rsidR="00A02F3D">
        <w:t>n</w:t>
      </w:r>
      <w:r w:rsidRPr="00CF436C">
        <w:t>or Schedule 18 currently permit chitin-glucan, PVI/PVP co</w:t>
      </w:r>
      <w:r w:rsidR="0084149D">
        <w:noBreakHyphen/>
      </w:r>
      <w:r w:rsidRPr="00CF436C">
        <w:t xml:space="preserve">polymers, ammonium bisulphite or silver chloride as processing aids in the </w:t>
      </w:r>
      <w:r w:rsidR="00230B05" w:rsidRPr="00230B05">
        <w:t>manufacture</w:t>
      </w:r>
      <w:r w:rsidRPr="00CF436C">
        <w:t xml:space="preserve"> of wine.</w:t>
      </w:r>
      <w:bookmarkStart w:id="31" w:name="_Toc452988280"/>
      <w:r w:rsidRPr="00CF436C">
        <w:br w:type="page"/>
      </w:r>
    </w:p>
    <w:p w14:paraId="5A0F6328" w14:textId="77777777" w:rsidR="0032789C" w:rsidRPr="00CF436C" w:rsidRDefault="0032789C" w:rsidP="00E50596">
      <w:pPr>
        <w:pStyle w:val="Heading3"/>
      </w:pPr>
      <w:bookmarkStart w:id="32" w:name="_Toc478021521"/>
      <w:bookmarkStart w:id="33" w:name="_Toc487795097"/>
      <w:r w:rsidRPr="00CF436C">
        <w:lastRenderedPageBreak/>
        <w:t>1.3.1</w:t>
      </w:r>
      <w:r w:rsidRPr="00CF436C">
        <w:tab/>
        <w:t>International standards</w:t>
      </w:r>
      <w:bookmarkEnd w:id="31"/>
      <w:bookmarkEnd w:id="32"/>
      <w:bookmarkEnd w:id="33"/>
    </w:p>
    <w:p w14:paraId="1B5BE7A6" w14:textId="5D057C02" w:rsidR="0032789C" w:rsidRPr="00CF436C" w:rsidRDefault="00C939F8" w:rsidP="0032789C">
      <w:r>
        <w:t xml:space="preserve">The </w:t>
      </w:r>
      <w:r w:rsidR="0032789C" w:rsidRPr="00CF436C">
        <w:t xml:space="preserve">Codex Alimentarius (Codex) does not </w:t>
      </w:r>
      <w:r>
        <w:t>establish</w:t>
      </w:r>
      <w:r w:rsidRPr="00CF436C">
        <w:t xml:space="preserve"> </w:t>
      </w:r>
      <w:r w:rsidR="0032789C" w:rsidRPr="00CF436C">
        <w:t xml:space="preserve">specific standards for processing aids, and many countries do not regulate processing aids in the same </w:t>
      </w:r>
      <w:r w:rsidR="00760844">
        <w:t>way</w:t>
      </w:r>
      <w:r w:rsidR="00760844" w:rsidRPr="00CF436C">
        <w:t xml:space="preserve"> </w:t>
      </w:r>
      <w:r w:rsidR="0032789C" w:rsidRPr="00CF436C">
        <w:t xml:space="preserve">as </w:t>
      </w:r>
      <w:r w:rsidR="00760844">
        <w:t>Australia and New Zealand</w:t>
      </w:r>
      <w:r w:rsidR="0032789C" w:rsidRPr="00CF436C">
        <w:t>. There is no Codex Alimentarius standard for wine.</w:t>
      </w:r>
    </w:p>
    <w:p w14:paraId="2FD29749" w14:textId="77777777" w:rsidR="0032789C" w:rsidRPr="00CF436C" w:rsidRDefault="0032789C" w:rsidP="0032789C"/>
    <w:p w14:paraId="3D02860A" w14:textId="7D27979D" w:rsidR="0032789C" w:rsidRPr="00CF436C" w:rsidRDefault="0032789C" w:rsidP="0032789C">
      <w:r w:rsidRPr="00CF436C">
        <w:t xml:space="preserve">The Organisation Internationale de la </w:t>
      </w:r>
      <w:proofErr w:type="spellStart"/>
      <w:r w:rsidRPr="00CF436C">
        <w:t>Vigne</w:t>
      </w:r>
      <w:proofErr w:type="spellEnd"/>
      <w:r w:rsidRPr="00CF436C">
        <w:t xml:space="preserve"> </w:t>
      </w:r>
      <w:proofErr w:type="gramStart"/>
      <w:r w:rsidRPr="00CF436C">
        <w:t>et</w:t>
      </w:r>
      <w:proofErr w:type="gramEnd"/>
      <w:r w:rsidRPr="00CF436C">
        <w:t xml:space="preserve"> du Vin or International Organisation of Vine and Wine (OIV) is a scientific and technical intergovernmental organisation recognised for its competence in work concerning vines, wine, wine-based beverages, table grapes, raisins and other vine-based products. </w:t>
      </w:r>
      <w:r w:rsidRPr="00CF436C">
        <w:rPr>
          <w:lang w:val="en"/>
        </w:rPr>
        <w:t xml:space="preserve">The OIV has produced specifications for each of the </w:t>
      </w:r>
      <w:r w:rsidRPr="00CF436C">
        <w:t xml:space="preserve">four processing aids contained in </w:t>
      </w:r>
      <w:r w:rsidR="0084149D">
        <w:t>the</w:t>
      </w:r>
      <w:r w:rsidR="0084149D" w:rsidRPr="00CF436C">
        <w:t xml:space="preserve"> </w:t>
      </w:r>
      <w:r w:rsidRPr="00CF436C">
        <w:t>Application. These specifications have been adopted for the purposes of Code requirements relating to identity and purity in section S3—3(j) of Schedule 3 – Identity and purity.</w:t>
      </w:r>
    </w:p>
    <w:p w14:paraId="24DD0227" w14:textId="77777777" w:rsidR="0032789C" w:rsidRPr="00CF436C" w:rsidRDefault="0032789C" w:rsidP="0032789C"/>
    <w:p w14:paraId="4DA867CF" w14:textId="4AC04937" w:rsidR="0032789C" w:rsidRPr="00CF436C" w:rsidRDefault="0032789C" w:rsidP="0032789C">
      <w:r w:rsidRPr="00CF436C">
        <w:t xml:space="preserve">The EU has specific permissions for </w:t>
      </w:r>
      <w:r w:rsidR="0084149D">
        <w:t xml:space="preserve">the use </w:t>
      </w:r>
      <w:r w:rsidRPr="00CF436C">
        <w:t xml:space="preserve">of the four processing aids in wine </w:t>
      </w:r>
      <w:r w:rsidR="00230B05" w:rsidRPr="00230B05">
        <w:t>manufacture</w:t>
      </w:r>
      <w:r w:rsidRPr="00CF436C">
        <w:t>.</w:t>
      </w:r>
    </w:p>
    <w:p w14:paraId="50A361A4" w14:textId="77777777" w:rsidR="0032789C" w:rsidRPr="00CF436C" w:rsidRDefault="0032789C" w:rsidP="0032789C"/>
    <w:p w14:paraId="26E5AA92" w14:textId="4DC5A6A2" w:rsidR="0032789C" w:rsidRPr="00CF436C" w:rsidRDefault="0032789C" w:rsidP="0032789C">
      <w:r w:rsidRPr="00CF436C">
        <w:t xml:space="preserve">The Republic of South Africa permits the use of ammonium bisulphite as a processing aid in wine </w:t>
      </w:r>
      <w:r w:rsidR="00230B05" w:rsidRPr="00230B05">
        <w:t>manufacture</w:t>
      </w:r>
      <w:r w:rsidRPr="00CF436C">
        <w:t>.</w:t>
      </w:r>
    </w:p>
    <w:p w14:paraId="53CD5C49" w14:textId="77777777" w:rsidR="0032789C" w:rsidRPr="00CF436C" w:rsidRDefault="0032789C" w:rsidP="0032789C"/>
    <w:p w14:paraId="085A2DAC" w14:textId="6D0DE61A" w:rsidR="0032789C" w:rsidRPr="00CF436C" w:rsidRDefault="0032789C" w:rsidP="0032789C">
      <w:r w:rsidRPr="00CF436C">
        <w:t xml:space="preserve">The United States of America </w:t>
      </w:r>
      <w:r w:rsidR="0084149D">
        <w:t>permits the use of</w:t>
      </w:r>
      <w:r w:rsidRPr="00CF436C">
        <w:t xml:space="preserve"> chitin-glucan, PVI/PVP co-polymers and ammonium bisulphite in wine </w:t>
      </w:r>
      <w:r w:rsidR="00230B05" w:rsidRPr="00230B05">
        <w:t>manufacture</w:t>
      </w:r>
      <w:r w:rsidR="00623CC0">
        <w:t>.</w:t>
      </w:r>
    </w:p>
    <w:p w14:paraId="0696C819" w14:textId="77777777" w:rsidR="0032789C" w:rsidRPr="00CF436C" w:rsidRDefault="0032789C" w:rsidP="0032789C"/>
    <w:p w14:paraId="61872BCA" w14:textId="17B12475" w:rsidR="0032789C" w:rsidRPr="00CF436C" w:rsidRDefault="0032789C" w:rsidP="0032789C">
      <w:r w:rsidRPr="00CF436C">
        <w:t>Further details on international standards are contained in SD1.</w:t>
      </w:r>
    </w:p>
    <w:p w14:paraId="64B60D4E" w14:textId="1FEFF56A" w:rsidR="007A53BF" w:rsidRPr="00CF436C" w:rsidRDefault="007A53BF" w:rsidP="00CE59AA">
      <w:pPr>
        <w:pStyle w:val="Heading2"/>
        <w:rPr>
          <w:u w:color="FFFF00"/>
        </w:rPr>
      </w:pPr>
      <w:bookmarkStart w:id="34" w:name="_Toc286391007"/>
      <w:bookmarkStart w:id="35" w:name="_Toc485047315"/>
      <w:bookmarkStart w:id="36" w:name="_Toc487795098"/>
      <w:bookmarkStart w:id="37" w:name="_Toc300933423"/>
      <w:bookmarkStart w:id="38" w:name="_Toc370223468"/>
      <w:bookmarkStart w:id="39" w:name="_Toc175381432"/>
      <w:r w:rsidRPr="00CF436C">
        <w:rPr>
          <w:u w:color="FFFF00"/>
        </w:rPr>
        <w:t>1.4</w:t>
      </w:r>
      <w:r w:rsidRPr="00CF436C">
        <w:rPr>
          <w:u w:color="FFFF00"/>
        </w:rPr>
        <w:tab/>
        <w:t>Reasons for accepting Application</w:t>
      </w:r>
      <w:bookmarkEnd w:id="34"/>
      <w:bookmarkEnd w:id="35"/>
      <w:bookmarkEnd w:id="36"/>
      <w:r w:rsidRPr="00CF436C">
        <w:rPr>
          <w:u w:color="FFFF00"/>
        </w:rPr>
        <w:t xml:space="preserve"> </w:t>
      </w:r>
      <w:bookmarkEnd w:id="37"/>
      <w:bookmarkEnd w:id="38"/>
    </w:p>
    <w:bookmarkEnd w:id="39"/>
    <w:p w14:paraId="06BAE76B" w14:textId="36E3B797" w:rsidR="0032789C" w:rsidRPr="0032789C" w:rsidRDefault="0032789C" w:rsidP="0032789C">
      <w:r w:rsidRPr="0032789C">
        <w:t>The Application was accepted for assessment because:</w:t>
      </w:r>
    </w:p>
    <w:p w14:paraId="4B4CB44F" w14:textId="77777777" w:rsidR="0032789C" w:rsidRPr="0032789C" w:rsidRDefault="0032789C" w:rsidP="00E50596">
      <w:pPr>
        <w:pStyle w:val="FSBullet1"/>
      </w:pPr>
      <w:r w:rsidRPr="0032789C">
        <w:t>it complied with the procedural requirements under subsection 22(2) of the FSANZ Act</w:t>
      </w:r>
    </w:p>
    <w:p w14:paraId="58AE1CA1" w14:textId="7EBE3493" w:rsidR="0032789C" w:rsidRPr="0032789C" w:rsidRDefault="0032789C" w:rsidP="00E50596">
      <w:pPr>
        <w:pStyle w:val="FSBullet1"/>
      </w:pPr>
      <w:proofErr w:type="gramStart"/>
      <w:r w:rsidRPr="0032789C">
        <w:t>it</w:t>
      </w:r>
      <w:proofErr w:type="gramEnd"/>
      <w:r w:rsidRPr="0032789C">
        <w:t xml:space="preserve"> related to a matter that warranted the variation of a food regulatory measure.</w:t>
      </w:r>
    </w:p>
    <w:p w14:paraId="1F35E747" w14:textId="77777777" w:rsidR="007A53BF" w:rsidRPr="007A53BF" w:rsidRDefault="007A53BF" w:rsidP="00CE59AA">
      <w:pPr>
        <w:pStyle w:val="Heading2"/>
      </w:pPr>
      <w:bookmarkStart w:id="40" w:name="_Toc370223469"/>
      <w:bookmarkStart w:id="41" w:name="_Toc485047316"/>
      <w:bookmarkStart w:id="42" w:name="_Toc487795099"/>
      <w:r w:rsidRPr="007A53BF">
        <w:t>1.5</w:t>
      </w:r>
      <w:r w:rsidRPr="007A53BF">
        <w:tab/>
        <w:t>Procedure for assessment</w:t>
      </w:r>
      <w:bookmarkEnd w:id="40"/>
      <w:bookmarkEnd w:id="41"/>
      <w:bookmarkEnd w:id="42"/>
    </w:p>
    <w:p w14:paraId="71F64CD5" w14:textId="19398F3C" w:rsidR="00AF397D" w:rsidRPr="00E0654D" w:rsidRDefault="00AF397D" w:rsidP="00E0654D">
      <w:r w:rsidRPr="00CF436C">
        <w:rPr>
          <w:shd w:val="clear" w:color="auto" w:fill="FFFFFF" w:themeFill="background1"/>
        </w:rPr>
        <w:t>The Application</w:t>
      </w:r>
      <w:r w:rsidRPr="007D0C2D">
        <w:rPr>
          <w:shd w:val="clear" w:color="auto" w:fill="FFFFFF" w:themeFill="background1"/>
        </w:rPr>
        <w:t xml:space="preserve"> </w:t>
      </w:r>
      <w:r w:rsidRPr="00E0654D">
        <w:t xml:space="preserve">was assessed under </w:t>
      </w:r>
      <w:r w:rsidRPr="00CF436C">
        <w:rPr>
          <w:shd w:val="clear" w:color="auto" w:fill="FFFFFF" w:themeFill="background1"/>
        </w:rPr>
        <w:t>the General</w:t>
      </w:r>
      <w:r w:rsidRPr="00E0654D">
        <w:t xml:space="preserve"> Procedure.</w:t>
      </w:r>
    </w:p>
    <w:p w14:paraId="10EE7082" w14:textId="77777777" w:rsidR="00422EC9" w:rsidRDefault="007A53BF" w:rsidP="00422EC9">
      <w:pPr>
        <w:pStyle w:val="Heading2"/>
      </w:pPr>
      <w:bookmarkStart w:id="43" w:name="_Toc485047317"/>
      <w:bookmarkStart w:id="44" w:name="_Toc487795100"/>
      <w:r>
        <w:t>1</w:t>
      </w:r>
      <w:r w:rsidR="00422EC9">
        <w:t>.6</w:t>
      </w:r>
      <w:r w:rsidR="00422EC9">
        <w:tab/>
      </w:r>
      <w:r w:rsidR="00422EC9" w:rsidRPr="00932F14">
        <w:t>Decision</w:t>
      </w:r>
      <w:bookmarkEnd w:id="43"/>
      <w:bookmarkEnd w:id="44"/>
    </w:p>
    <w:p w14:paraId="00EDF067" w14:textId="589EB74F" w:rsidR="0084149D" w:rsidRDefault="00422EC9" w:rsidP="002C1A3B">
      <w:r>
        <w:t>The draft</w:t>
      </w:r>
      <w:r w:rsidR="00E30092" w:rsidRPr="00CA3CAF">
        <w:t xml:space="preserve"> variation </w:t>
      </w:r>
      <w:r w:rsidRPr="009F2959">
        <w:t xml:space="preserve">as proposed following assessment was approved </w:t>
      </w:r>
      <w:r w:rsidR="005E58D3" w:rsidRPr="00CA3CAF">
        <w:t>with amendments</w:t>
      </w:r>
      <w:r w:rsidRPr="009F2959">
        <w:t>.</w:t>
      </w:r>
      <w:r w:rsidR="0084149D">
        <w:t xml:space="preserve"> The </w:t>
      </w:r>
      <w:r w:rsidR="0084149D">
        <w:rPr>
          <w:rFonts w:eastAsia="Calibri"/>
        </w:rPr>
        <w:t>reference to s</w:t>
      </w:r>
      <w:r w:rsidR="0084149D">
        <w:rPr>
          <w:rFonts w:cs="Arial"/>
        </w:rPr>
        <w:t>ilver</w:t>
      </w:r>
      <w:r w:rsidR="0084149D" w:rsidRPr="00C47DFF">
        <w:rPr>
          <w:rFonts w:cs="Arial"/>
        </w:rPr>
        <w:t xml:space="preserve"> chloride</w:t>
      </w:r>
      <w:r w:rsidR="0084149D">
        <w:rPr>
          <w:rFonts w:cs="Arial"/>
        </w:rPr>
        <w:t xml:space="preserve"> </w:t>
      </w:r>
      <w:r w:rsidR="005C29E4">
        <w:rPr>
          <w:rFonts w:cs="Arial"/>
        </w:rPr>
        <w:t xml:space="preserve">was removed from </w:t>
      </w:r>
      <w:r w:rsidR="0084149D">
        <w:rPr>
          <w:rFonts w:cs="Arial"/>
        </w:rPr>
        <w:t xml:space="preserve">the amendment to the </w:t>
      </w:r>
      <w:r w:rsidR="0084149D" w:rsidRPr="0060411A">
        <w:rPr>
          <w:rFonts w:eastAsia="Calibri"/>
        </w:rPr>
        <w:t>Table to clause 4 of Standard 4.5.1</w:t>
      </w:r>
      <w:r w:rsidR="005C29E4">
        <w:rPr>
          <w:rFonts w:eastAsia="Calibri"/>
        </w:rPr>
        <w:t xml:space="preserve"> for the reasons explained in section 2.1 below. The draft variation was also amended to </w:t>
      </w:r>
      <w:r w:rsidR="0084149D">
        <w:rPr>
          <w:rFonts w:eastAsia="Calibri"/>
        </w:rPr>
        <w:t>make clear that the processing aids are permitted for use in the manufacture of wine, sparkling wine and fortified wine.</w:t>
      </w:r>
    </w:p>
    <w:p w14:paraId="14B1A12C" w14:textId="77777777" w:rsidR="0084149D" w:rsidRDefault="0084149D" w:rsidP="002C1A3B"/>
    <w:p w14:paraId="370734F3" w14:textId="02C43E2A" w:rsidR="00623CC0" w:rsidRDefault="002C1A3B" w:rsidP="00E50596">
      <w:r w:rsidRPr="009F2959">
        <w:t>The</w:t>
      </w:r>
      <w:r w:rsidRPr="00CA3CAF">
        <w:t xml:space="preserve"> variation</w:t>
      </w:r>
      <w:r w:rsidRPr="009F2959">
        <w:t xml:space="preserve"> takes effect on </w:t>
      </w:r>
      <w:r w:rsidR="009F2959" w:rsidRPr="009F2959">
        <w:t>the date of gazettal.</w:t>
      </w:r>
      <w:r w:rsidR="009F2959">
        <w:t xml:space="preserve"> </w:t>
      </w:r>
      <w:r w:rsidR="00422EC9" w:rsidRPr="009F2959">
        <w:t xml:space="preserve">The </w:t>
      </w:r>
      <w:r w:rsidRPr="009F2959">
        <w:t xml:space="preserve">approved </w:t>
      </w:r>
      <w:r w:rsidR="00422EC9" w:rsidRPr="009F2959">
        <w:t xml:space="preserve">draft </w:t>
      </w:r>
      <w:r w:rsidR="00E30092" w:rsidRPr="00CA3CAF">
        <w:t>variation</w:t>
      </w:r>
      <w:r w:rsidR="00422EC9" w:rsidRPr="009F2959">
        <w:t>,</w:t>
      </w:r>
      <w:r w:rsidR="00422EC9" w:rsidRPr="00CA3CAF">
        <w:t xml:space="preserve"> as varied after </w:t>
      </w:r>
      <w:r w:rsidR="007A53BF" w:rsidRPr="00CA3CAF">
        <w:t xml:space="preserve">consideration of </w:t>
      </w:r>
      <w:r w:rsidR="00422EC9" w:rsidRPr="00CA3CAF">
        <w:t>submissions,</w:t>
      </w:r>
      <w:r w:rsidR="00422EC9" w:rsidRPr="009F2959">
        <w:t xml:space="preserve"> </w:t>
      </w:r>
      <w:r w:rsidR="005E06C0" w:rsidRPr="009F2959">
        <w:t xml:space="preserve">is </w:t>
      </w:r>
      <w:r w:rsidR="00422EC9">
        <w:t xml:space="preserve">at </w:t>
      </w:r>
      <w:r w:rsidR="00422EC9" w:rsidRPr="007C22CB">
        <w:t>Attachment A</w:t>
      </w:r>
      <w:r w:rsidR="00E50596">
        <w:t>. T</w:t>
      </w:r>
      <w:r w:rsidR="005E06C0">
        <w:t xml:space="preserve">he </w:t>
      </w:r>
      <w:r w:rsidR="00401ADE">
        <w:t xml:space="preserve">related explanatory statement </w:t>
      </w:r>
      <w:r w:rsidR="005E06C0">
        <w:t xml:space="preserve">is at Attachment B. </w:t>
      </w:r>
      <w:r>
        <w:t xml:space="preserve">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rsidR="00917C6F">
        <w:t>on</w:t>
      </w:r>
      <w:r>
        <w:t xml:space="preserve">. </w:t>
      </w:r>
    </w:p>
    <w:p w14:paraId="3D91876E" w14:textId="77777777" w:rsidR="00623CC0" w:rsidRDefault="00623CC0">
      <w:pPr>
        <w:widowControl/>
      </w:pPr>
      <w:r>
        <w:br w:type="page"/>
      </w:r>
    </w:p>
    <w:p w14:paraId="011F6922" w14:textId="608D42F6" w:rsidR="0012388D" w:rsidRDefault="007A53BF" w:rsidP="007D0C2D">
      <w:pPr>
        <w:pStyle w:val="Heading1"/>
        <w:ind w:left="0" w:firstLine="0"/>
      </w:pPr>
      <w:bookmarkStart w:id="45" w:name="_Toc485047318"/>
      <w:bookmarkStart w:id="46" w:name="_Toc487795101"/>
      <w:bookmarkStart w:id="47" w:name="_Toc11735630"/>
      <w:bookmarkStart w:id="48" w:name="_Toc29883114"/>
      <w:bookmarkStart w:id="49" w:name="_Toc41906801"/>
      <w:bookmarkStart w:id="50" w:name="_Toc41907548"/>
      <w:bookmarkStart w:id="51" w:name="_Toc120358578"/>
      <w:bookmarkStart w:id="52" w:name="_Toc175381435"/>
      <w:bookmarkEnd w:id="4"/>
      <w:bookmarkEnd w:id="5"/>
      <w:bookmarkEnd w:id="6"/>
      <w:bookmarkEnd w:id="7"/>
      <w:bookmarkEnd w:id="8"/>
      <w:r>
        <w:lastRenderedPageBreak/>
        <w:t>2</w:t>
      </w:r>
      <w:r w:rsidR="00AC428E">
        <w:tab/>
      </w:r>
      <w:r w:rsidR="00AF387F" w:rsidRPr="00CC560B">
        <w:t xml:space="preserve">Summary </w:t>
      </w:r>
      <w:r w:rsidR="00AF387F" w:rsidRPr="007D0C2D">
        <w:t>of</w:t>
      </w:r>
      <w:r w:rsidR="00AF387F" w:rsidRPr="00CC560B">
        <w:t xml:space="preserve"> the findings</w:t>
      </w:r>
      <w:bookmarkEnd w:id="45"/>
      <w:bookmarkEnd w:id="46"/>
    </w:p>
    <w:p w14:paraId="2D10FB78" w14:textId="11E51B83" w:rsidR="007A53BF" w:rsidRDefault="007A53BF" w:rsidP="007A53BF">
      <w:pPr>
        <w:pStyle w:val="Heading2"/>
      </w:pPr>
      <w:bookmarkStart w:id="53" w:name="_Toc300933438"/>
      <w:bookmarkStart w:id="54" w:name="_Toc370223471"/>
      <w:bookmarkStart w:id="55" w:name="_Toc370225386"/>
      <w:bookmarkStart w:id="56" w:name="_Toc485047319"/>
      <w:bookmarkStart w:id="57" w:name="_Toc487795102"/>
      <w:bookmarkStart w:id="58" w:name="_Toc286391009"/>
      <w:bookmarkStart w:id="59" w:name="_Toc300933425"/>
      <w:bookmarkStart w:id="60" w:name="_Toc309291838"/>
      <w:bookmarkStart w:id="61" w:name="_Toc309385455"/>
      <w:bookmarkStart w:id="62" w:name="_Toc120358583"/>
      <w:bookmarkStart w:id="63" w:name="_Toc175381440"/>
      <w:r w:rsidRPr="002C1A3B">
        <w:t>2.1</w:t>
      </w:r>
      <w:r w:rsidRPr="002C1A3B">
        <w:tab/>
        <w:t xml:space="preserve">Summary of issues raised </w:t>
      </w:r>
      <w:bookmarkEnd w:id="53"/>
      <w:r w:rsidRPr="002C1A3B">
        <w:t>in submissions</w:t>
      </w:r>
      <w:bookmarkEnd w:id="54"/>
      <w:bookmarkEnd w:id="55"/>
      <w:bookmarkEnd w:id="56"/>
      <w:bookmarkEnd w:id="57"/>
    </w:p>
    <w:p w14:paraId="0A467559" w14:textId="38E21508" w:rsidR="00BE5193" w:rsidRDefault="00BE5193" w:rsidP="00BE5193">
      <w:pPr>
        <w:rPr>
          <w:lang w:bidi="ar-SA"/>
        </w:rPr>
      </w:pPr>
      <w:r>
        <w:rPr>
          <w:bCs/>
          <w:lang w:val="en-NZ" w:bidi="ar-SA"/>
        </w:rPr>
        <w:t>T</w:t>
      </w:r>
      <w:r w:rsidR="00B74380">
        <w:rPr>
          <w:bCs/>
          <w:lang w:val="en-NZ" w:bidi="ar-SA"/>
        </w:rPr>
        <w:t>he</w:t>
      </w:r>
      <w:r w:rsidR="00760844">
        <w:rPr>
          <w:bCs/>
          <w:lang w:val="en-NZ" w:bidi="ar-SA"/>
        </w:rPr>
        <w:t xml:space="preserve"> Victorian </w:t>
      </w:r>
      <w:r w:rsidR="00B74380">
        <w:rPr>
          <w:bCs/>
          <w:lang w:val="en-NZ" w:bidi="ar-SA"/>
        </w:rPr>
        <w:t xml:space="preserve">Health </w:t>
      </w:r>
      <w:r w:rsidR="00A13636">
        <w:rPr>
          <w:bCs/>
          <w:lang w:val="en-NZ" w:bidi="ar-SA"/>
        </w:rPr>
        <w:t xml:space="preserve">&amp; Economic Development </w:t>
      </w:r>
      <w:r w:rsidR="00B74380">
        <w:rPr>
          <w:bCs/>
          <w:lang w:val="en-NZ" w:bidi="ar-SA"/>
        </w:rPr>
        <w:t>D</w:t>
      </w:r>
      <w:r w:rsidR="00760844">
        <w:rPr>
          <w:bCs/>
          <w:lang w:val="en-NZ" w:bidi="ar-SA"/>
        </w:rPr>
        <w:t>epartments raised a number of issues</w:t>
      </w:r>
      <w:r>
        <w:rPr>
          <w:lang w:bidi="ar-SA"/>
        </w:rPr>
        <w:t>. A private submitter rais</w:t>
      </w:r>
      <w:r w:rsidR="0052493D">
        <w:rPr>
          <w:lang w:bidi="ar-SA"/>
        </w:rPr>
        <w:t>ed</w:t>
      </w:r>
      <w:r>
        <w:rPr>
          <w:lang w:bidi="ar-SA"/>
        </w:rPr>
        <w:t xml:space="preserve"> one issue </w:t>
      </w:r>
      <w:r w:rsidR="00E10A46">
        <w:rPr>
          <w:lang w:bidi="ar-SA"/>
        </w:rPr>
        <w:t>and a</w:t>
      </w:r>
      <w:r>
        <w:rPr>
          <w:lang w:bidi="ar-SA"/>
        </w:rPr>
        <w:t xml:space="preserve"> third submission from The New Zealand Ministry for Primary Industries </w:t>
      </w:r>
      <w:r w:rsidR="00760844">
        <w:rPr>
          <w:lang w:bidi="ar-SA"/>
        </w:rPr>
        <w:t xml:space="preserve">supported </w:t>
      </w:r>
      <w:r>
        <w:rPr>
          <w:lang w:bidi="ar-SA"/>
        </w:rPr>
        <w:t>the Application.</w:t>
      </w:r>
    </w:p>
    <w:p w14:paraId="1D5D23D8" w14:textId="194FD495" w:rsidR="00BE5193" w:rsidRPr="00BE5193" w:rsidRDefault="00BE5193" w:rsidP="00CA3CAF">
      <w:pPr>
        <w:rPr>
          <w:lang w:bidi="ar-SA"/>
        </w:rPr>
      </w:pPr>
    </w:p>
    <w:p w14:paraId="7F8BF452" w14:textId="77777777" w:rsidR="007A53BF" w:rsidRPr="003C2145" w:rsidRDefault="007A53BF" w:rsidP="003C2145">
      <w:pPr>
        <w:pStyle w:val="FSTableTitle"/>
      </w:pPr>
      <w:r w:rsidRPr="003C2145">
        <w:t xml:space="preserve">Table 1: Summary of issues </w:t>
      </w:r>
    </w:p>
    <w:p w14:paraId="3728EF4E" w14:textId="77777777" w:rsidR="007A53BF" w:rsidRPr="00B853D2" w:rsidRDefault="007A53BF" w:rsidP="007A53BF"/>
    <w:tbl>
      <w:tblPr>
        <w:tblStyle w:val="MediumShading1-Accent3"/>
        <w:tblW w:w="8897" w:type="dxa"/>
        <w:tblBorders>
          <w:top w:val="single" w:sz="4" w:space="0" w:color="559514"/>
          <w:left w:val="single" w:sz="4" w:space="0" w:color="559514"/>
          <w:bottom w:val="single" w:sz="4" w:space="0" w:color="559514"/>
          <w:right w:val="single" w:sz="4" w:space="0" w:color="559514"/>
          <w:insideH w:val="single" w:sz="4" w:space="0" w:color="559514"/>
          <w:insideV w:val="single" w:sz="4" w:space="0" w:color="559514"/>
        </w:tblBorders>
        <w:tblLook w:val="04A0" w:firstRow="1" w:lastRow="0" w:firstColumn="1" w:lastColumn="0" w:noHBand="0" w:noVBand="1"/>
        <w:tblCaption w:val="Summary of issues from submissions"/>
      </w:tblPr>
      <w:tblGrid>
        <w:gridCol w:w="3510"/>
        <w:gridCol w:w="1980"/>
        <w:gridCol w:w="3407"/>
      </w:tblGrid>
      <w:tr w:rsidR="007A53BF" w14:paraId="6830FE66" w14:textId="77777777" w:rsidTr="00E50596">
        <w:trPr>
          <w:cnfStyle w:val="100000000000" w:firstRow="1" w:lastRow="0" w:firstColumn="0" w:lastColumn="0" w:oddVBand="0" w:evenVBand="0" w:oddHBand="0" w:evenHBand="0" w:firstRowFirstColumn="0" w:firstRowLastColumn="0" w:lastRowFirstColumn="0" w:lastRowLastColumn="0"/>
          <w:trHeight w:val="489"/>
          <w:tblHeader/>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shd w:val="clear" w:color="auto" w:fill="0276B7"/>
            <w:vAlign w:val="center"/>
          </w:tcPr>
          <w:p w14:paraId="387148CC" w14:textId="77777777" w:rsidR="007A53BF" w:rsidRPr="008C4E76" w:rsidRDefault="007A53BF" w:rsidP="008C4E76">
            <w:pPr>
              <w:pStyle w:val="FSTableHeading"/>
              <w:rPr>
                <w:b/>
              </w:rPr>
            </w:pPr>
            <w:r w:rsidRPr="008C4E76">
              <w:rPr>
                <w:b/>
              </w:rPr>
              <w:t>Issue</w:t>
            </w:r>
          </w:p>
        </w:tc>
        <w:tc>
          <w:tcPr>
            <w:tcW w:w="1980" w:type="dxa"/>
            <w:tcBorders>
              <w:top w:val="none" w:sz="0" w:space="0" w:color="auto"/>
              <w:left w:val="none" w:sz="0" w:space="0" w:color="auto"/>
              <w:bottom w:val="none" w:sz="0" w:space="0" w:color="auto"/>
              <w:right w:val="none" w:sz="0" w:space="0" w:color="auto"/>
            </w:tcBorders>
            <w:shd w:val="clear" w:color="auto" w:fill="0276B7"/>
            <w:vAlign w:val="center"/>
          </w:tcPr>
          <w:p w14:paraId="6D027C32"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407" w:type="dxa"/>
            <w:tcBorders>
              <w:top w:val="none" w:sz="0" w:space="0" w:color="auto"/>
              <w:left w:val="none" w:sz="0" w:space="0" w:color="auto"/>
              <w:bottom w:val="none" w:sz="0" w:space="0" w:color="auto"/>
              <w:right w:val="none" w:sz="0" w:space="0" w:color="auto"/>
            </w:tcBorders>
            <w:shd w:val="clear" w:color="auto" w:fill="0276B7"/>
            <w:vAlign w:val="center"/>
          </w:tcPr>
          <w:p w14:paraId="13636BF3" w14:textId="77777777" w:rsidR="001D43F6"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(including any amendments to drafting)</w:t>
            </w:r>
          </w:p>
        </w:tc>
      </w:tr>
      <w:tr w:rsidR="00935FB5" w14:paraId="2031515C" w14:textId="77777777" w:rsidTr="00E5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3C96008" w14:textId="77777777" w:rsidR="00F90983" w:rsidRDefault="00F90983" w:rsidP="00935FB5">
            <w:pPr>
              <w:pStyle w:val="FSTableText"/>
              <w:rPr>
                <w:b w:val="0"/>
              </w:rPr>
            </w:pPr>
          </w:p>
          <w:p w14:paraId="514B6F9F" w14:textId="46655C07" w:rsidR="00935FB5" w:rsidRPr="00EB04CB" w:rsidRDefault="00935FB5" w:rsidP="00935FB5">
            <w:pPr>
              <w:pStyle w:val="FSTableText"/>
              <w:rPr>
                <w:b w:val="0"/>
              </w:rPr>
            </w:pPr>
            <w:r w:rsidRPr="00EB04CB">
              <w:rPr>
                <w:b w:val="0"/>
              </w:rPr>
              <w:t xml:space="preserve">FSANZ has not proposed an acceptable daily intake for any of the processing aids and has therefore proposed that the Food Standards Code be amended to permit each processing aid to be added at levels consistent with good manufacturing practice (GMP). This differs from the approach used in the European Union where prescriptive requirements apply to the use of these processing aids in wine </w:t>
            </w:r>
            <w:r w:rsidR="00230B05" w:rsidRPr="00230B05">
              <w:rPr>
                <w:b w:val="0"/>
              </w:rPr>
              <w:t>manufacture</w:t>
            </w:r>
            <w:r w:rsidRPr="00EB04CB">
              <w:rPr>
                <w:b w:val="0"/>
              </w:rPr>
              <w:t xml:space="preserve">. The departments seek clarification from FSANZ about implications of setting levels for use for these processing aids at GMP rather than following the prescriptive approach used in the European Union, including setting maximum permitted amounts for use. </w:t>
            </w:r>
          </w:p>
        </w:tc>
        <w:tc>
          <w:tcPr>
            <w:tcW w:w="1980" w:type="dxa"/>
            <w:tcBorders>
              <w:left w:val="none" w:sz="0" w:space="0" w:color="auto"/>
              <w:right w:val="none" w:sz="0" w:space="0" w:color="auto"/>
            </w:tcBorders>
          </w:tcPr>
          <w:p w14:paraId="299F94DC" w14:textId="77777777" w:rsidR="00C16731" w:rsidRPr="00EB04CB" w:rsidRDefault="00C16731" w:rsidP="00C16731">
            <w:pPr>
              <w:pStyle w:val="FSTableText"/>
              <w:cnfStyle w:val="000000100000" w:firstRow="0" w:lastRow="0" w:firstColumn="0" w:lastColumn="0" w:oddVBand="0" w:evenVBand="0" w:oddHBand="1" w:evenHBand="0" w:firstRowFirstColumn="0" w:firstRowLastColumn="0" w:lastRowFirstColumn="0" w:lastRowLastColumn="0"/>
              <w:rPr>
                <w:lang w:val="en-NZ"/>
              </w:rPr>
            </w:pPr>
          </w:p>
          <w:p w14:paraId="56060A7E" w14:textId="14415389" w:rsidR="00935FB5" w:rsidRPr="00EB04CB" w:rsidRDefault="00C16731" w:rsidP="00C16731">
            <w:pPr>
              <w:pStyle w:val="FSTableText"/>
              <w:cnfStyle w:val="000000100000" w:firstRow="0" w:lastRow="0" w:firstColumn="0" w:lastColumn="0" w:oddVBand="0" w:evenVBand="0" w:oddHBand="1" w:evenHBand="0" w:firstRowFirstColumn="0" w:firstRowLastColumn="0" w:lastRowFirstColumn="0" w:lastRowLastColumn="0"/>
            </w:pPr>
            <w:r w:rsidRPr="00EB04CB">
              <w:rPr>
                <w:bCs/>
                <w:lang w:val="en-NZ"/>
              </w:rPr>
              <w:t>Victorian Departments of Health and Human Services, and Economic Development, Jobs, Transport and Resources</w:t>
            </w:r>
          </w:p>
        </w:tc>
        <w:tc>
          <w:tcPr>
            <w:tcW w:w="3407" w:type="dxa"/>
            <w:tcBorders>
              <w:left w:val="none" w:sz="0" w:space="0" w:color="auto"/>
            </w:tcBorders>
          </w:tcPr>
          <w:p w14:paraId="16BBCB4D" w14:textId="77777777" w:rsidR="00F90983" w:rsidRDefault="00F90983" w:rsidP="00F90983">
            <w:pPr>
              <w:pStyle w:val="FSTableText"/>
              <w:cnfStyle w:val="000000100000" w:firstRow="0" w:lastRow="0" w:firstColumn="0" w:lastColumn="0" w:oddVBand="0" w:evenVBand="0" w:oddHBand="1" w:evenHBand="0" w:firstRowFirstColumn="0" w:firstRowLastColumn="0" w:lastRowFirstColumn="0" w:lastRowLastColumn="0"/>
              <w:rPr>
                <w:lang w:val="en-AU"/>
              </w:rPr>
            </w:pPr>
          </w:p>
          <w:p w14:paraId="40CD548C" w14:textId="39884425" w:rsidR="00935FB5" w:rsidRPr="000778D6" w:rsidRDefault="00136D57" w:rsidP="00F90983">
            <w:pPr>
              <w:pStyle w:val="FSTableText"/>
              <w:cnfStyle w:val="000000100000" w:firstRow="0" w:lastRow="0" w:firstColumn="0" w:lastColumn="0" w:oddVBand="0" w:evenVBand="0" w:oddHBand="1" w:evenHBand="0" w:firstRowFirstColumn="0" w:firstRowLastColumn="0" w:lastRowFirstColumn="0" w:lastRowLastColumn="0"/>
            </w:pPr>
            <w:r w:rsidRPr="00136D57">
              <w:t>FSANZ concluded that there are no public health and safety concerns from the proposed use of these substances</w:t>
            </w:r>
            <w:r w:rsidRPr="00136D57">
              <w:rPr>
                <w:i/>
              </w:rPr>
              <w:t xml:space="preserve"> </w:t>
            </w:r>
            <w:r w:rsidRPr="00136D57">
              <w:t xml:space="preserve">as processing aids </w:t>
            </w:r>
            <w:r w:rsidR="00760844">
              <w:t>to produce</w:t>
            </w:r>
            <w:r w:rsidRPr="00136D57">
              <w:t xml:space="preserve"> </w:t>
            </w:r>
            <w:proofErr w:type="gramStart"/>
            <w:r w:rsidRPr="00136D57">
              <w:t>wine</w:t>
            </w:r>
            <w:r w:rsidR="000B5D27">
              <w:t>,</w:t>
            </w:r>
            <w:proofErr w:type="gramEnd"/>
            <w:r w:rsidR="000B5D27">
              <w:t xml:space="preserve"> hence the use at GMP levels is justified</w:t>
            </w:r>
            <w:r>
              <w:rPr>
                <w:lang w:val="en-AU"/>
              </w:rPr>
              <w:t xml:space="preserve">. </w:t>
            </w:r>
            <w:r w:rsidR="00945724">
              <w:rPr>
                <w:lang w:val="en-AU"/>
              </w:rPr>
              <w:t xml:space="preserve">Furthermore, when used correctly, these processing aids </w:t>
            </w:r>
            <w:r w:rsidR="00945724" w:rsidRPr="00945724">
              <w:t xml:space="preserve">(with </w:t>
            </w:r>
            <w:r w:rsidR="00F90983">
              <w:t xml:space="preserve">the </w:t>
            </w:r>
            <w:r w:rsidR="00945724">
              <w:t xml:space="preserve">possibility that some </w:t>
            </w:r>
            <w:r w:rsidR="00566175">
              <w:t>SO</w:t>
            </w:r>
            <w:r w:rsidR="00566175" w:rsidRPr="007954B7">
              <w:rPr>
                <w:vertAlign w:val="subscript"/>
              </w:rPr>
              <w:t>2</w:t>
            </w:r>
            <w:r w:rsidR="00945724">
              <w:t xml:space="preserve"> remains in the wine when ammonium bisulphite</w:t>
            </w:r>
            <w:r w:rsidR="00945724" w:rsidRPr="00945724">
              <w:t xml:space="preserve"> </w:t>
            </w:r>
            <w:r w:rsidR="00945724">
              <w:t>is</w:t>
            </w:r>
            <w:r w:rsidR="00945724" w:rsidRPr="00945724">
              <w:t xml:space="preserve"> used)</w:t>
            </w:r>
            <w:r w:rsidR="00945724">
              <w:t xml:space="preserve"> are removed from wine </w:t>
            </w:r>
            <w:r w:rsidR="00760844">
              <w:t xml:space="preserve">before </w:t>
            </w:r>
            <w:r w:rsidR="00945724">
              <w:t>bottling</w:t>
            </w:r>
            <w:r w:rsidR="00945724" w:rsidRPr="00945724">
              <w:t xml:space="preserve">. </w:t>
            </w:r>
            <w:r w:rsidR="00F90983">
              <w:rPr>
                <w:lang w:val="en-AU"/>
              </w:rPr>
              <w:t xml:space="preserve">The use of these processing aids will </w:t>
            </w:r>
            <w:r w:rsidR="00945724" w:rsidRPr="00945724">
              <w:rPr>
                <w:lang w:val="en-AU"/>
              </w:rPr>
              <w:t xml:space="preserve">be self-regulated </w:t>
            </w:r>
            <w:r w:rsidR="00F90983">
              <w:rPr>
                <w:lang w:val="en-AU"/>
              </w:rPr>
              <w:t>by industry as excess</w:t>
            </w:r>
            <w:r w:rsidR="00F90983" w:rsidRPr="002545DB">
              <w:t xml:space="preserve"> </w:t>
            </w:r>
            <w:r w:rsidR="002545DB" w:rsidRPr="002545DB">
              <w:t>us</w:t>
            </w:r>
            <w:r w:rsidR="00760844">
              <w:rPr>
                <w:lang w:val="en-AU"/>
              </w:rPr>
              <w:t xml:space="preserve">e </w:t>
            </w:r>
            <w:r w:rsidR="00F90983">
              <w:rPr>
                <w:lang w:val="en-AU"/>
              </w:rPr>
              <w:t xml:space="preserve">may impact negatively on wine quality, such as </w:t>
            </w:r>
            <w:r w:rsidR="00945724">
              <w:t>the removal of important thiol aromatics</w:t>
            </w:r>
            <w:r w:rsidR="00F90983">
              <w:t>, an increase in pH</w:t>
            </w:r>
            <w:r w:rsidR="00945724">
              <w:t xml:space="preserve"> or cloudiness in wine.</w:t>
            </w:r>
            <w:r w:rsidR="00F90983">
              <w:t xml:space="preserve"> </w:t>
            </w:r>
            <w:r w:rsidR="000B5D27">
              <w:rPr>
                <w:lang w:val="en-AU"/>
              </w:rPr>
              <w:t xml:space="preserve">Those wine </w:t>
            </w:r>
            <w:r w:rsidR="007954B7">
              <w:rPr>
                <w:lang w:val="en-AU"/>
              </w:rPr>
              <w:t>produce</w:t>
            </w:r>
            <w:r w:rsidR="000B5D27">
              <w:rPr>
                <w:lang w:val="en-AU"/>
              </w:rPr>
              <w:t xml:space="preserve">rs exporting to the EU will need to have regard to any </w:t>
            </w:r>
            <w:r w:rsidR="000B5D27">
              <w:t>maximum permitted levels for these processing aids in the EU.</w:t>
            </w:r>
            <w:r w:rsidR="00945724">
              <w:t xml:space="preserve"> </w:t>
            </w:r>
          </w:p>
        </w:tc>
      </w:tr>
      <w:tr w:rsidR="00C16731" w14:paraId="719B4BAC" w14:textId="77777777" w:rsidTr="00E505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2438369E" w14:textId="77777777" w:rsidR="00F90983" w:rsidRDefault="00F90983" w:rsidP="00C16731">
            <w:pPr>
              <w:pStyle w:val="FSTableText"/>
              <w:rPr>
                <w:b w:val="0"/>
              </w:rPr>
            </w:pPr>
          </w:p>
          <w:p w14:paraId="1F0AE960" w14:textId="237A4383" w:rsidR="00C16731" w:rsidRPr="00EB04CB" w:rsidRDefault="00C16731" w:rsidP="00C16731">
            <w:pPr>
              <w:pStyle w:val="FSTableText"/>
              <w:rPr>
                <w:b w:val="0"/>
              </w:rPr>
            </w:pPr>
            <w:r w:rsidRPr="00EB04CB">
              <w:rPr>
                <w:b w:val="0"/>
              </w:rPr>
              <w:t xml:space="preserve">The level and quality of evidence provided to support the safety of each processing aid differs significantly. This makes it difficult to determine how FSANZ has assessed and concluded that the processing aids are safe for use in wine </w:t>
            </w:r>
            <w:r w:rsidR="00230B05" w:rsidRPr="00230B05">
              <w:rPr>
                <w:b w:val="0"/>
              </w:rPr>
              <w:t>manufacture</w:t>
            </w:r>
            <w:r w:rsidRPr="00EB04CB">
              <w:rPr>
                <w:b w:val="0"/>
              </w:rPr>
              <w:t xml:space="preserve">. Further clarification on this point is requested. </w:t>
            </w:r>
          </w:p>
        </w:tc>
        <w:tc>
          <w:tcPr>
            <w:tcW w:w="1980" w:type="dxa"/>
            <w:tcBorders>
              <w:left w:val="none" w:sz="0" w:space="0" w:color="auto"/>
              <w:right w:val="none" w:sz="0" w:space="0" w:color="auto"/>
            </w:tcBorders>
          </w:tcPr>
          <w:p w14:paraId="64D71018" w14:textId="77777777" w:rsidR="00C16731" w:rsidRPr="00EB04CB" w:rsidRDefault="00C16731" w:rsidP="00C16731">
            <w:pPr>
              <w:pStyle w:val="FSTableText"/>
              <w:cnfStyle w:val="000000010000" w:firstRow="0" w:lastRow="0" w:firstColumn="0" w:lastColumn="0" w:oddVBand="0" w:evenVBand="0" w:oddHBand="0" w:evenHBand="1" w:firstRowFirstColumn="0" w:firstRowLastColumn="0" w:lastRowFirstColumn="0" w:lastRowLastColumn="0"/>
              <w:rPr>
                <w:lang w:val="en-NZ"/>
              </w:rPr>
            </w:pPr>
          </w:p>
          <w:p w14:paraId="7B17DEC0" w14:textId="292E5908" w:rsidR="00C16731" w:rsidRDefault="00C16731" w:rsidP="00C16731">
            <w:pPr>
              <w:pStyle w:val="FSTableText"/>
              <w:cnfStyle w:val="000000010000" w:firstRow="0" w:lastRow="0" w:firstColumn="0" w:lastColumn="0" w:oddVBand="0" w:evenVBand="0" w:oddHBand="0" w:evenHBand="1" w:firstRowFirstColumn="0" w:firstRowLastColumn="0" w:lastRowFirstColumn="0" w:lastRowLastColumn="0"/>
              <w:rPr>
                <w:bCs/>
                <w:lang w:val="en-NZ"/>
              </w:rPr>
            </w:pPr>
            <w:r w:rsidRPr="00EB04CB">
              <w:rPr>
                <w:bCs/>
                <w:lang w:val="en-NZ"/>
              </w:rPr>
              <w:t>Victorian Departments of Health and Human Services, and Economic Development, Jobs, Transport and Resources</w:t>
            </w:r>
          </w:p>
          <w:p w14:paraId="00A7CF23" w14:textId="191CA5F8" w:rsidR="00F90983" w:rsidRPr="00EB04CB" w:rsidRDefault="00F90983" w:rsidP="00C16731">
            <w:pPr>
              <w:pStyle w:val="FSTableText"/>
              <w:cnfStyle w:val="000000010000" w:firstRow="0" w:lastRow="0" w:firstColumn="0" w:lastColumn="0" w:oddVBand="0" w:evenVBand="0" w:oddHBand="0" w:evenHBand="1" w:firstRowFirstColumn="0" w:firstRowLastColumn="0" w:lastRowFirstColumn="0" w:lastRowLastColumn="0"/>
            </w:pPr>
          </w:p>
        </w:tc>
        <w:tc>
          <w:tcPr>
            <w:tcW w:w="3407" w:type="dxa"/>
            <w:tcBorders>
              <w:left w:val="none" w:sz="0" w:space="0" w:color="auto"/>
            </w:tcBorders>
          </w:tcPr>
          <w:p w14:paraId="3722023B" w14:textId="77777777" w:rsidR="000977E9" w:rsidRDefault="000977E9" w:rsidP="000977E9">
            <w:pPr>
              <w:pStyle w:val="FSTableText"/>
              <w:cnfStyle w:val="000000010000" w:firstRow="0" w:lastRow="0" w:firstColumn="0" w:lastColumn="0" w:oddVBand="0" w:evenVBand="0" w:oddHBand="0" w:evenHBand="1" w:firstRowFirstColumn="0" w:firstRowLastColumn="0" w:lastRowFirstColumn="0" w:lastRowLastColumn="0"/>
            </w:pPr>
          </w:p>
          <w:p w14:paraId="3321FD8C" w14:textId="2EBC60A2" w:rsidR="000977E9" w:rsidRDefault="000977E9" w:rsidP="000977E9">
            <w:pPr>
              <w:pStyle w:val="FSTableText"/>
              <w:cnfStyle w:val="000000010000" w:firstRow="0" w:lastRow="0" w:firstColumn="0" w:lastColumn="0" w:oddVBand="0" w:evenVBand="0" w:oddHBand="0" w:evenHBand="1" w:firstRowFirstColumn="0" w:firstRowLastColumn="0" w:lastRowFirstColumn="0" w:lastRowLastColumn="0"/>
            </w:pPr>
            <w:r w:rsidRPr="002325C1">
              <w:t xml:space="preserve">The available information </w:t>
            </w:r>
            <w:r>
              <w:t xml:space="preserve">for each of the processing aids </w:t>
            </w:r>
            <w:r w:rsidRPr="002325C1">
              <w:t>met the requirements for information related to the safety of a chemical processing aid set out in the FSANZ Application Handbook.</w:t>
            </w:r>
          </w:p>
          <w:p w14:paraId="26B3398A" w14:textId="77777777" w:rsidR="000977E9" w:rsidRDefault="000977E9" w:rsidP="000977E9">
            <w:pPr>
              <w:pStyle w:val="FSTableText"/>
              <w:cnfStyle w:val="000000010000" w:firstRow="0" w:lastRow="0" w:firstColumn="0" w:lastColumn="0" w:oddVBand="0" w:evenVBand="0" w:oddHBand="0" w:evenHBand="1" w:firstRowFirstColumn="0" w:firstRowLastColumn="0" w:lastRowFirstColumn="0" w:lastRowLastColumn="0"/>
            </w:pPr>
          </w:p>
          <w:p w14:paraId="4C3C14F7" w14:textId="648CA19F" w:rsidR="005C29E4" w:rsidRDefault="007F3F13" w:rsidP="007F3F13">
            <w:pPr>
              <w:pStyle w:val="FSTableText"/>
              <w:cnfStyle w:val="000000010000" w:firstRow="0" w:lastRow="0" w:firstColumn="0" w:lastColumn="0" w:oddVBand="0" w:evenVBand="0" w:oddHBand="0" w:evenHBand="1" w:firstRowFirstColumn="0" w:firstRowLastColumn="0" w:lastRowFirstColumn="0" w:lastRowLastColumn="0"/>
            </w:pPr>
            <w:r>
              <w:t xml:space="preserve">Not all substances in food can or need to be tested to the same extent or subjected to the same range of toxicity tests. Specific requirements for toxicological testing are determined by the nature of the substance being evaluated, its uses and levels of use. </w:t>
            </w:r>
          </w:p>
          <w:p w14:paraId="15BEA572" w14:textId="77777777" w:rsidR="007F3F13" w:rsidRDefault="007F3F13" w:rsidP="00807417">
            <w:pPr>
              <w:pStyle w:val="FSTableText"/>
              <w:cnfStyle w:val="000000010000" w:firstRow="0" w:lastRow="0" w:firstColumn="0" w:lastColumn="0" w:oddVBand="0" w:evenVBand="0" w:oddHBand="0" w:evenHBand="1" w:firstRowFirstColumn="0" w:firstRowLastColumn="0" w:lastRowFirstColumn="0" w:lastRowLastColumn="0"/>
            </w:pPr>
          </w:p>
          <w:p w14:paraId="40C21B3A" w14:textId="247CCBEA" w:rsidR="00DD68C7" w:rsidRPr="000778D6" w:rsidRDefault="000977E9" w:rsidP="000977E9">
            <w:pPr>
              <w:pStyle w:val="FSTableText"/>
              <w:cnfStyle w:val="000000010000" w:firstRow="0" w:lastRow="0" w:firstColumn="0" w:lastColumn="0" w:oddVBand="0" w:evenVBand="0" w:oddHBand="0" w:evenHBand="1" w:firstRowFirstColumn="0" w:firstRowLastColumn="0" w:lastRowFirstColumn="0" w:lastRowLastColumn="0"/>
            </w:pPr>
            <w:r>
              <w:t>In addition, t</w:t>
            </w:r>
            <w:r w:rsidR="007F3F13">
              <w:t xml:space="preserve">he </w:t>
            </w:r>
            <w:r w:rsidR="001374A6">
              <w:t>assessment</w:t>
            </w:r>
            <w:r w:rsidR="00714197">
              <w:t xml:space="preserve"> for each processing aid</w:t>
            </w:r>
            <w:r w:rsidR="001374A6">
              <w:t xml:space="preserve"> considered </w:t>
            </w:r>
            <w:r w:rsidR="007F3F13">
              <w:t>all available studies including those</w:t>
            </w:r>
            <w:r w:rsidR="007F3F13" w:rsidRPr="007F3F13">
              <w:t xml:space="preserve"> submitted by</w:t>
            </w:r>
            <w:r w:rsidR="007F3F13">
              <w:t xml:space="preserve"> the Applicant</w:t>
            </w:r>
            <w:r w:rsidR="00714197">
              <w:t>,</w:t>
            </w:r>
            <w:r w:rsidR="007F3F13">
              <w:t xml:space="preserve"> and any </w:t>
            </w:r>
            <w:r w:rsidR="00714197">
              <w:lastRenderedPageBreak/>
              <w:t xml:space="preserve">relevant </w:t>
            </w:r>
            <w:r w:rsidR="007F3F13">
              <w:t>additional studies</w:t>
            </w:r>
            <w:r w:rsidR="007F3F13" w:rsidRPr="007F3F13">
              <w:t xml:space="preserve"> identified in the open scientific literature.</w:t>
            </w:r>
            <w:r w:rsidR="007F3F13">
              <w:t xml:space="preserve"> </w:t>
            </w:r>
            <w:r w:rsidR="001374A6" w:rsidRPr="001374A6">
              <w:t>Therefore it is not surprising that there is variation in the number and quality of studies assessed</w:t>
            </w:r>
            <w:r w:rsidR="001374A6">
              <w:t xml:space="preserve"> for the different processing aids</w:t>
            </w:r>
            <w:r w:rsidR="001374A6" w:rsidRPr="001374A6">
              <w:t>.</w:t>
            </w:r>
          </w:p>
        </w:tc>
      </w:tr>
      <w:tr w:rsidR="00C16731" w14:paraId="31AFBDA1" w14:textId="77777777" w:rsidTr="00E5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516B2232" w14:textId="6C928DCB" w:rsidR="00F90983" w:rsidRDefault="00F90983" w:rsidP="00C16731">
            <w:pPr>
              <w:pStyle w:val="FSTableText"/>
              <w:rPr>
                <w:b w:val="0"/>
              </w:rPr>
            </w:pPr>
          </w:p>
          <w:p w14:paraId="0BFD2A64" w14:textId="3D29AF70" w:rsidR="00C16731" w:rsidRPr="00EB04CB" w:rsidRDefault="00C16731" w:rsidP="00C16731">
            <w:pPr>
              <w:pStyle w:val="FSTableText"/>
              <w:rPr>
                <w:b w:val="0"/>
              </w:rPr>
            </w:pPr>
            <w:r w:rsidRPr="00EB04CB">
              <w:rPr>
                <w:b w:val="0"/>
              </w:rPr>
              <w:t xml:space="preserve">In the dietary exposure assessment for each of the four processing aids, FSANZ concludes that residual levels of the processing aids and their degradation products are likely to be negligible (with the exception of the presence of </w:t>
            </w:r>
            <w:r w:rsidR="00566175">
              <w:rPr>
                <w:b w:val="0"/>
              </w:rPr>
              <w:t>SO</w:t>
            </w:r>
            <w:r w:rsidR="00566175" w:rsidRPr="003742CC">
              <w:rPr>
                <w:vertAlign w:val="subscript"/>
              </w:rPr>
              <w:t>2</w:t>
            </w:r>
            <w:r w:rsidRPr="00EB04CB">
              <w:rPr>
                <w:b w:val="0"/>
              </w:rPr>
              <w:t xml:space="preserve"> when ammonium bisulphates are used). It is unclear whether FSANZ’s overall risk assessments for each of the processing aids is based on the negligible expected dietary exposure or low hazard associated with possible exposure. Further clarification on this point is requested. </w:t>
            </w:r>
          </w:p>
        </w:tc>
        <w:tc>
          <w:tcPr>
            <w:tcW w:w="1980" w:type="dxa"/>
            <w:tcBorders>
              <w:left w:val="none" w:sz="0" w:space="0" w:color="auto"/>
              <w:right w:val="none" w:sz="0" w:space="0" w:color="auto"/>
            </w:tcBorders>
          </w:tcPr>
          <w:p w14:paraId="5FFCA24B" w14:textId="77777777" w:rsidR="00C16731" w:rsidRPr="00EB04CB" w:rsidRDefault="00C16731" w:rsidP="00C16731">
            <w:pPr>
              <w:pStyle w:val="FSTableText"/>
              <w:cnfStyle w:val="000000100000" w:firstRow="0" w:lastRow="0" w:firstColumn="0" w:lastColumn="0" w:oddVBand="0" w:evenVBand="0" w:oddHBand="1" w:evenHBand="0" w:firstRowFirstColumn="0" w:firstRowLastColumn="0" w:lastRowFirstColumn="0" w:lastRowLastColumn="0"/>
              <w:rPr>
                <w:lang w:val="en-NZ"/>
              </w:rPr>
            </w:pPr>
          </w:p>
          <w:p w14:paraId="0A4FEDB0" w14:textId="721A4C77" w:rsidR="00C16731" w:rsidRPr="00EB04CB" w:rsidRDefault="00C16731" w:rsidP="00C16731">
            <w:pPr>
              <w:pStyle w:val="FSTableText"/>
              <w:cnfStyle w:val="000000100000" w:firstRow="0" w:lastRow="0" w:firstColumn="0" w:lastColumn="0" w:oddVBand="0" w:evenVBand="0" w:oddHBand="1" w:evenHBand="0" w:firstRowFirstColumn="0" w:firstRowLastColumn="0" w:lastRowFirstColumn="0" w:lastRowLastColumn="0"/>
            </w:pPr>
            <w:r w:rsidRPr="00EB04CB">
              <w:rPr>
                <w:bCs/>
                <w:lang w:val="en-NZ"/>
              </w:rPr>
              <w:t>Victorian Departments of Health and Human Services, and Economic Development, Jobs, Transport and Resources</w:t>
            </w:r>
          </w:p>
        </w:tc>
        <w:tc>
          <w:tcPr>
            <w:tcW w:w="3407" w:type="dxa"/>
            <w:tcBorders>
              <w:left w:val="none" w:sz="0" w:space="0" w:color="auto"/>
            </w:tcBorders>
          </w:tcPr>
          <w:p w14:paraId="47AB30BF" w14:textId="77777777" w:rsidR="00C74E73" w:rsidRDefault="00C74E73" w:rsidP="00C16731">
            <w:pPr>
              <w:pStyle w:val="FSTableText"/>
              <w:cnfStyle w:val="000000100000" w:firstRow="0" w:lastRow="0" w:firstColumn="0" w:lastColumn="0" w:oddVBand="0" w:evenVBand="0" w:oddHBand="1" w:evenHBand="0" w:firstRowFirstColumn="0" w:firstRowLastColumn="0" w:lastRowFirstColumn="0" w:lastRowLastColumn="0"/>
            </w:pPr>
          </w:p>
          <w:p w14:paraId="46ABC0D6" w14:textId="033C22E0" w:rsidR="000977E9" w:rsidRDefault="000977E9" w:rsidP="000977E9">
            <w:pPr>
              <w:pStyle w:val="FSTableText"/>
              <w:cnfStyle w:val="000000100000" w:firstRow="0" w:lastRow="0" w:firstColumn="0" w:lastColumn="0" w:oddVBand="0" w:evenVBand="0" w:oddHBand="1" w:evenHBand="0" w:firstRowFirstColumn="0" w:firstRowLastColumn="0" w:lastRowFirstColumn="0" w:lastRowLastColumn="0"/>
            </w:pPr>
            <w:r>
              <w:t xml:space="preserve">The FSANZ assessment </w:t>
            </w:r>
            <w:r w:rsidRPr="00807417">
              <w:t xml:space="preserve">considered </w:t>
            </w:r>
            <w:r>
              <w:t xml:space="preserve">both the </w:t>
            </w:r>
            <w:r w:rsidRPr="00807417">
              <w:t>intrinsic toxicity (hazard) of each processing aid (i.e. its potential to cause harm) and the level of exposure likely to occur following their proposed uses.</w:t>
            </w:r>
            <w:r>
              <w:t xml:space="preserve"> In each case a sufficient margin of safety existed such that it was concluded that the use of the processing aid in wine does not pose public health and safety concerns. </w:t>
            </w:r>
          </w:p>
          <w:p w14:paraId="375E249F" w14:textId="33A1A803" w:rsidR="00C16731" w:rsidRPr="000778D6" w:rsidRDefault="00C16731" w:rsidP="000977E9">
            <w:pPr>
              <w:pStyle w:val="FSTableText"/>
              <w:cnfStyle w:val="000000100000" w:firstRow="0" w:lastRow="0" w:firstColumn="0" w:lastColumn="0" w:oddVBand="0" w:evenVBand="0" w:oddHBand="1" w:evenHBand="0" w:firstRowFirstColumn="0" w:firstRowLastColumn="0" w:lastRowFirstColumn="0" w:lastRowLastColumn="0"/>
            </w:pPr>
          </w:p>
        </w:tc>
      </w:tr>
      <w:tr w:rsidR="00C16731" w14:paraId="53871192" w14:textId="77777777" w:rsidTr="00E505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77401F28" w14:textId="77777777" w:rsidR="00DD68C7" w:rsidRDefault="00DD68C7" w:rsidP="00C16731">
            <w:pPr>
              <w:pStyle w:val="FSTableText"/>
              <w:rPr>
                <w:b w:val="0"/>
              </w:rPr>
            </w:pPr>
          </w:p>
          <w:p w14:paraId="32185D89" w14:textId="2B96B971" w:rsidR="00C16731" w:rsidRPr="00EB04CB" w:rsidRDefault="00C16731" w:rsidP="00C16731">
            <w:pPr>
              <w:pStyle w:val="FSTableText"/>
              <w:rPr>
                <w:b w:val="0"/>
                <w:sz w:val="22"/>
                <w:szCs w:val="22"/>
              </w:rPr>
            </w:pPr>
            <w:r w:rsidRPr="00EB04CB">
              <w:rPr>
                <w:b w:val="0"/>
              </w:rPr>
              <w:t xml:space="preserve">The departments note that the WFA has applied for amendments to the Food Standards Code to include chitin-glucan, PVI/PVP co-polymers, ammonium bisulphite and silver chloride in Schedule 18-9 and to include chitin-glucan, PVI/PVP co-polymers and ammonium bisulphite, but not silver chloride in clause 4 to Standard 4.5.1. The departments seek clarification of the rationale for inclusion of all four processing aids in the amendments to clause 4 of Standard 4.5.1, noting that the Australian wine industry has not expressed the intention of using silver chloride in wine </w:t>
            </w:r>
            <w:r w:rsidR="00E50596" w:rsidRPr="00E50596">
              <w:rPr>
                <w:b w:val="0"/>
              </w:rPr>
              <w:t>manufacture</w:t>
            </w:r>
            <w:r w:rsidRPr="00EB04CB">
              <w:rPr>
                <w:b w:val="0"/>
              </w:rPr>
              <w:t xml:space="preserve"> in Australia.</w:t>
            </w:r>
          </w:p>
        </w:tc>
        <w:tc>
          <w:tcPr>
            <w:tcW w:w="1980" w:type="dxa"/>
            <w:tcBorders>
              <w:left w:val="none" w:sz="0" w:space="0" w:color="auto"/>
              <w:right w:val="none" w:sz="0" w:space="0" w:color="auto"/>
            </w:tcBorders>
          </w:tcPr>
          <w:p w14:paraId="1FB3F341" w14:textId="77777777" w:rsidR="00C16731" w:rsidRPr="00EB04CB" w:rsidRDefault="00C16731" w:rsidP="00C16731">
            <w:pPr>
              <w:pStyle w:val="FSTableText"/>
              <w:cnfStyle w:val="000000010000" w:firstRow="0" w:lastRow="0" w:firstColumn="0" w:lastColumn="0" w:oddVBand="0" w:evenVBand="0" w:oddHBand="0" w:evenHBand="1" w:firstRowFirstColumn="0" w:firstRowLastColumn="0" w:lastRowFirstColumn="0" w:lastRowLastColumn="0"/>
              <w:rPr>
                <w:lang w:val="en-NZ"/>
              </w:rPr>
            </w:pPr>
          </w:p>
          <w:p w14:paraId="1935C1E3" w14:textId="75F452C9" w:rsidR="00C16731" w:rsidRDefault="00C16731" w:rsidP="00C16731">
            <w:pPr>
              <w:pStyle w:val="FSTableText"/>
              <w:cnfStyle w:val="000000010000" w:firstRow="0" w:lastRow="0" w:firstColumn="0" w:lastColumn="0" w:oddVBand="0" w:evenVBand="0" w:oddHBand="0" w:evenHBand="1" w:firstRowFirstColumn="0" w:firstRowLastColumn="0" w:lastRowFirstColumn="0" w:lastRowLastColumn="0"/>
              <w:rPr>
                <w:bCs/>
                <w:lang w:val="en-NZ"/>
              </w:rPr>
            </w:pPr>
            <w:r w:rsidRPr="00EB04CB">
              <w:rPr>
                <w:bCs/>
                <w:lang w:val="en-NZ"/>
              </w:rPr>
              <w:t>Victorian Departments of Health and Human Services, and Economic Development, Jobs, Transport and Resources</w:t>
            </w:r>
          </w:p>
          <w:p w14:paraId="6BC92D4E" w14:textId="7971AE39" w:rsidR="00F90983" w:rsidRPr="00EB04CB" w:rsidRDefault="00F90983" w:rsidP="00C16731">
            <w:pPr>
              <w:pStyle w:val="FSTableText"/>
              <w:cnfStyle w:val="000000010000" w:firstRow="0" w:lastRow="0" w:firstColumn="0" w:lastColumn="0" w:oddVBand="0" w:evenVBand="0" w:oddHBand="0" w:evenHBand="1" w:firstRowFirstColumn="0" w:firstRowLastColumn="0" w:lastRowFirstColumn="0" w:lastRowLastColumn="0"/>
            </w:pPr>
          </w:p>
        </w:tc>
        <w:tc>
          <w:tcPr>
            <w:tcW w:w="3407" w:type="dxa"/>
            <w:tcBorders>
              <w:left w:val="none" w:sz="0" w:space="0" w:color="auto"/>
            </w:tcBorders>
          </w:tcPr>
          <w:p w14:paraId="7B752DB9" w14:textId="77777777" w:rsidR="00C16731" w:rsidRDefault="00C16731" w:rsidP="00C16731">
            <w:pPr>
              <w:pStyle w:val="FSTableText"/>
              <w:cnfStyle w:val="000000010000" w:firstRow="0" w:lastRow="0" w:firstColumn="0" w:lastColumn="0" w:oddVBand="0" w:evenVBand="0" w:oddHBand="0" w:evenHBand="1" w:firstRowFirstColumn="0" w:firstRowLastColumn="0" w:lastRowFirstColumn="0" w:lastRowLastColumn="0"/>
            </w:pPr>
          </w:p>
          <w:p w14:paraId="1FDBEFB1" w14:textId="2960D857" w:rsidR="00372CB0" w:rsidRPr="005C29E4" w:rsidRDefault="005C29E4" w:rsidP="005C29E4">
            <w:pPr>
              <w:pStyle w:val="FSTableText"/>
              <w:cnfStyle w:val="000000010000" w:firstRow="0" w:lastRow="0" w:firstColumn="0" w:lastColumn="0" w:oddVBand="0" w:evenVBand="0" w:oddHBand="0" w:evenHBand="1" w:firstRowFirstColumn="0" w:firstRowLastColumn="0" w:lastRowFirstColumn="0" w:lastRowLastColumn="0"/>
            </w:pPr>
            <w:r w:rsidRPr="005C29E4">
              <w:rPr>
                <w:bCs/>
                <w:lang w:val="en-NZ"/>
              </w:rPr>
              <w:t xml:space="preserve">Noted. </w:t>
            </w:r>
            <w:r w:rsidR="00372CB0" w:rsidRPr="005C29E4">
              <w:rPr>
                <w:bCs/>
              </w:rPr>
              <w:t>FSANZ has amended t</w:t>
            </w:r>
            <w:r w:rsidR="00621922" w:rsidRPr="005C29E4">
              <w:rPr>
                <w:bCs/>
              </w:rPr>
              <w:t>he</w:t>
            </w:r>
            <w:r w:rsidR="00372CB0" w:rsidRPr="005C29E4">
              <w:rPr>
                <w:bCs/>
              </w:rPr>
              <w:t xml:space="preserve"> drafting to </w:t>
            </w:r>
            <w:r w:rsidRPr="00E50596">
              <w:t>include chitin-glucan, PVI/PVP co-polymers and ammonium bisulphite, but not silver chloride</w:t>
            </w:r>
            <w:r>
              <w:t>,</w:t>
            </w:r>
            <w:r w:rsidRPr="00E50596">
              <w:t xml:space="preserve"> in </w:t>
            </w:r>
            <w:r>
              <w:t xml:space="preserve">the Table to </w:t>
            </w:r>
            <w:r w:rsidRPr="00E50596">
              <w:t xml:space="preserve">clause 4 </w:t>
            </w:r>
            <w:r>
              <w:t>of</w:t>
            </w:r>
            <w:r w:rsidRPr="00E50596">
              <w:t xml:space="preserve"> Standard 4.5.1</w:t>
            </w:r>
            <w:r w:rsidR="00372CB0" w:rsidRPr="005C29E4">
              <w:rPr>
                <w:bCs/>
              </w:rPr>
              <w:t>.</w:t>
            </w:r>
          </w:p>
        </w:tc>
      </w:tr>
      <w:tr w:rsidR="00C16731" w14:paraId="3A431891" w14:textId="77777777" w:rsidTr="00E505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452AE966" w14:textId="77777777" w:rsidR="00F90983" w:rsidRDefault="00F90983" w:rsidP="00C16731">
            <w:pPr>
              <w:pStyle w:val="FSTableText"/>
              <w:rPr>
                <w:b w:val="0"/>
                <w:lang w:val="en-NZ"/>
              </w:rPr>
            </w:pPr>
          </w:p>
          <w:p w14:paraId="424BA688" w14:textId="0E6B7205" w:rsidR="00C16731" w:rsidRDefault="00C16731" w:rsidP="00C16731">
            <w:pPr>
              <w:pStyle w:val="FSTableText"/>
              <w:rPr>
                <w:b w:val="0"/>
                <w:lang w:val="en-NZ"/>
              </w:rPr>
            </w:pPr>
            <w:r w:rsidRPr="00EB04CB">
              <w:rPr>
                <w:b w:val="0"/>
                <w:lang w:val="en-NZ"/>
              </w:rPr>
              <w:t>As noted in the Risk &amp; Technical</w:t>
            </w:r>
            <w:r w:rsidR="003742CC">
              <w:rPr>
                <w:b w:val="0"/>
                <w:lang w:val="en-NZ"/>
              </w:rPr>
              <w:t xml:space="preserve"> </w:t>
            </w:r>
            <w:r w:rsidRPr="00EB04CB">
              <w:rPr>
                <w:b w:val="0"/>
                <w:lang w:val="en-NZ"/>
              </w:rPr>
              <w:t>Assessment, EFSA (2010) appear to regard chitin-glucan as a</w:t>
            </w:r>
            <w:r w:rsidR="003742CC">
              <w:rPr>
                <w:b w:val="0"/>
                <w:lang w:val="en-NZ"/>
              </w:rPr>
              <w:t xml:space="preserve"> </w:t>
            </w:r>
            <w:r w:rsidRPr="00EB04CB">
              <w:rPr>
                <w:b w:val="0"/>
                <w:lang w:val="en-NZ"/>
              </w:rPr>
              <w:t>novel ingredient.</w:t>
            </w:r>
            <w:r w:rsidR="007700C8">
              <w:rPr>
                <w:b w:val="0"/>
                <w:lang w:val="en-NZ"/>
              </w:rPr>
              <w:t xml:space="preserve"> </w:t>
            </w:r>
            <w:r w:rsidRPr="00EB04CB">
              <w:rPr>
                <w:b w:val="0"/>
                <w:lang w:val="en-NZ"/>
              </w:rPr>
              <w:t>Would that then not also require</w:t>
            </w:r>
            <w:r w:rsidR="003742CC">
              <w:rPr>
                <w:b w:val="0"/>
                <w:lang w:val="en-NZ"/>
              </w:rPr>
              <w:t xml:space="preserve"> </w:t>
            </w:r>
            <w:r w:rsidRPr="00C16731">
              <w:rPr>
                <w:b w:val="0"/>
                <w:lang w:val="en-NZ"/>
              </w:rPr>
              <w:t>amendment to Schedule 25?</w:t>
            </w:r>
          </w:p>
          <w:p w14:paraId="759E4904" w14:textId="0D4C46FA" w:rsidR="00372CB0" w:rsidRDefault="00372CB0" w:rsidP="00C16731">
            <w:pPr>
              <w:pStyle w:val="FSTableText"/>
              <w:rPr>
                <w:b w:val="0"/>
              </w:rPr>
            </w:pPr>
          </w:p>
        </w:tc>
        <w:tc>
          <w:tcPr>
            <w:tcW w:w="1980" w:type="dxa"/>
            <w:tcBorders>
              <w:left w:val="none" w:sz="0" w:space="0" w:color="auto"/>
              <w:right w:val="none" w:sz="0" w:space="0" w:color="auto"/>
            </w:tcBorders>
          </w:tcPr>
          <w:p w14:paraId="20C99A2D" w14:textId="77777777" w:rsidR="00F90983" w:rsidRDefault="00F90983" w:rsidP="00C16731">
            <w:pPr>
              <w:pStyle w:val="FSTableText"/>
              <w:cnfStyle w:val="000000100000" w:firstRow="0" w:lastRow="0" w:firstColumn="0" w:lastColumn="0" w:oddVBand="0" w:evenVBand="0" w:oddHBand="1" w:evenHBand="0" w:firstRowFirstColumn="0" w:firstRowLastColumn="0" w:lastRowFirstColumn="0" w:lastRowLastColumn="0"/>
              <w:rPr>
                <w:lang w:val="en-NZ"/>
              </w:rPr>
            </w:pPr>
          </w:p>
          <w:p w14:paraId="54641BE2" w14:textId="3EB78081" w:rsidR="00C16731" w:rsidRPr="00EB04CB" w:rsidRDefault="00EB04CB" w:rsidP="00C16731">
            <w:pPr>
              <w:pStyle w:val="FSTableText"/>
              <w:cnfStyle w:val="000000100000" w:firstRow="0" w:lastRow="0" w:firstColumn="0" w:lastColumn="0" w:oddVBand="0" w:evenVBand="0" w:oddHBand="1" w:evenHBand="0" w:firstRowFirstColumn="0" w:firstRowLastColumn="0" w:lastRowFirstColumn="0" w:lastRowLastColumn="0"/>
              <w:rPr>
                <w:lang w:val="en-NZ"/>
              </w:rPr>
            </w:pPr>
            <w:r>
              <w:rPr>
                <w:lang w:val="en-NZ"/>
              </w:rPr>
              <w:t>Private</w:t>
            </w:r>
          </w:p>
        </w:tc>
        <w:tc>
          <w:tcPr>
            <w:tcW w:w="3407" w:type="dxa"/>
            <w:tcBorders>
              <w:left w:val="none" w:sz="0" w:space="0" w:color="auto"/>
            </w:tcBorders>
          </w:tcPr>
          <w:p w14:paraId="0CCDD5BA" w14:textId="77777777" w:rsidR="00C16731" w:rsidRDefault="00C16731" w:rsidP="00C16731">
            <w:pPr>
              <w:pStyle w:val="FSTableText"/>
              <w:cnfStyle w:val="000000100000" w:firstRow="0" w:lastRow="0" w:firstColumn="0" w:lastColumn="0" w:oddVBand="0" w:evenVBand="0" w:oddHBand="1" w:evenHBand="0" w:firstRowFirstColumn="0" w:firstRowLastColumn="0" w:lastRowFirstColumn="0" w:lastRowLastColumn="0"/>
            </w:pPr>
          </w:p>
          <w:p w14:paraId="1F8E89A4" w14:textId="112199A6" w:rsidR="007700C8" w:rsidRDefault="00895462" w:rsidP="003742CC">
            <w:pPr>
              <w:pStyle w:val="FSTableText"/>
              <w:cnfStyle w:val="000000100000" w:firstRow="0" w:lastRow="0" w:firstColumn="0" w:lastColumn="0" w:oddVBand="0" w:evenVBand="0" w:oddHBand="1" w:evenHBand="0" w:firstRowFirstColumn="0" w:firstRowLastColumn="0" w:lastRowFirstColumn="0" w:lastRowLastColumn="0"/>
            </w:pPr>
            <w:r>
              <w:t>C</w:t>
            </w:r>
            <w:r w:rsidR="007700C8">
              <w:t xml:space="preserve">hitin-glucan </w:t>
            </w:r>
            <w:r>
              <w:t>performs no technological function in the final food (wine) and therefore meets the definition of a processing aid</w:t>
            </w:r>
            <w:r w:rsidR="00464909">
              <w:t xml:space="preserve"> in the Code. Additionally, chitin-glucan </w:t>
            </w:r>
            <w:r>
              <w:t xml:space="preserve">is removed </w:t>
            </w:r>
            <w:r w:rsidR="00C67FB2">
              <w:t>from</w:t>
            </w:r>
            <w:r w:rsidR="007700C8">
              <w:t xml:space="preserve"> the wine/must </w:t>
            </w:r>
            <w:r w:rsidR="0004424C">
              <w:t xml:space="preserve">before </w:t>
            </w:r>
            <w:r w:rsidR="007700C8">
              <w:t>consumption</w:t>
            </w:r>
            <w:r w:rsidR="00464909">
              <w:t xml:space="preserve"> and is therefore</w:t>
            </w:r>
            <w:r w:rsidR="003742CC">
              <w:t>,</w:t>
            </w:r>
            <w:r w:rsidR="007700C8">
              <w:t xml:space="preserve"> not considered an ingredient</w:t>
            </w:r>
            <w:r w:rsidR="00E649C8">
              <w:t xml:space="preserve"> and will not be </w:t>
            </w:r>
            <w:r w:rsidR="004B3008">
              <w:t>added to Schedule 25 as a consequence of this Application</w:t>
            </w:r>
            <w:r w:rsidR="003742CC">
              <w:t>.</w:t>
            </w:r>
          </w:p>
        </w:tc>
      </w:tr>
    </w:tbl>
    <w:p w14:paraId="6972A4AC" w14:textId="1D020686" w:rsidR="00A06305" w:rsidRPr="004F758F" w:rsidRDefault="00A06305" w:rsidP="007A53BF">
      <w:pPr>
        <w:rPr>
          <w:color w:val="000000" w:themeColor="text1"/>
        </w:rPr>
      </w:pPr>
    </w:p>
    <w:p w14:paraId="68F3A7D7" w14:textId="35171DE5" w:rsidR="002C1A3B" w:rsidRPr="00932F14" w:rsidRDefault="002C1A3B" w:rsidP="00E50596">
      <w:pPr>
        <w:pStyle w:val="Heading2"/>
        <w:ind w:left="0" w:firstLine="0"/>
      </w:pPr>
      <w:bookmarkStart w:id="64" w:name="_Toc370223472"/>
      <w:bookmarkStart w:id="65" w:name="_Toc370225387"/>
      <w:bookmarkStart w:id="66" w:name="_Toc487795103"/>
      <w:bookmarkStart w:id="67" w:name="_Toc485047320"/>
      <w:bookmarkStart w:id="68" w:name="_Toc309291812"/>
      <w:bookmarkStart w:id="69" w:name="_Toc175381442"/>
      <w:bookmarkEnd w:id="58"/>
      <w:bookmarkEnd w:id="59"/>
      <w:bookmarkEnd w:id="60"/>
      <w:bookmarkEnd w:id="61"/>
      <w:bookmarkEnd w:id="62"/>
      <w:bookmarkEnd w:id="63"/>
      <w:r>
        <w:lastRenderedPageBreak/>
        <w:t>2.2</w:t>
      </w:r>
      <w:r>
        <w:tab/>
      </w:r>
      <w:r w:rsidRPr="00932F14">
        <w:t xml:space="preserve">Risk </w:t>
      </w:r>
      <w:r>
        <w:t>a</w:t>
      </w:r>
      <w:r w:rsidRPr="00932F14">
        <w:t>ssessment</w:t>
      </w:r>
      <w:bookmarkEnd w:id="64"/>
      <w:bookmarkEnd w:id="65"/>
      <w:bookmarkEnd w:id="66"/>
      <w:r w:rsidRPr="00932F14">
        <w:t xml:space="preserve"> </w:t>
      </w:r>
      <w:bookmarkEnd w:id="67"/>
    </w:p>
    <w:p w14:paraId="230A9D6C" w14:textId="23199B98" w:rsidR="00271B86" w:rsidRDefault="00271B86" w:rsidP="00271B86">
      <w:pPr>
        <w:rPr>
          <w:lang w:bidi="ar-SA"/>
        </w:rPr>
      </w:pPr>
      <w:r w:rsidRPr="00271B86">
        <w:rPr>
          <w:lang w:bidi="ar-SA"/>
        </w:rPr>
        <w:t>The risk assessment considered two questions:</w:t>
      </w:r>
    </w:p>
    <w:p w14:paraId="17BD6CA6" w14:textId="77777777" w:rsidR="00F24222" w:rsidRPr="00271B86" w:rsidRDefault="00F24222" w:rsidP="00271B86">
      <w:pPr>
        <w:rPr>
          <w:lang w:bidi="ar-SA"/>
        </w:rPr>
      </w:pPr>
    </w:p>
    <w:p w14:paraId="6945FC7E" w14:textId="77777777" w:rsidR="00271B86" w:rsidRPr="00CA3CAF" w:rsidRDefault="00271B86" w:rsidP="00E50596">
      <w:pPr>
        <w:pStyle w:val="FSBullet1"/>
      </w:pPr>
      <w:r w:rsidRPr="00271B86">
        <w:t>Is the technological function clearly stated for each substance and is that</w:t>
      </w:r>
      <w:r w:rsidRPr="00271B86">
        <w:rPr>
          <w:lang w:val="en-NZ"/>
        </w:rPr>
        <w:t xml:space="preserve"> </w:t>
      </w:r>
      <w:r w:rsidRPr="00271B86">
        <w:t xml:space="preserve">function justified </w:t>
      </w:r>
      <w:r w:rsidRPr="00C0205E">
        <w:t xml:space="preserve">in the quantity and form proposed </w:t>
      </w:r>
      <w:r w:rsidRPr="0034205B">
        <w:t>for use</w:t>
      </w:r>
      <w:r w:rsidRPr="00CA3CAF">
        <w:t xml:space="preserve"> as a food processing aid?</w:t>
      </w:r>
    </w:p>
    <w:p w14:paraId="3CF459D2" w14:textId="77777777" w:rsidR="00271B86" w:rsidRPr="00271B86" w:rsidRDefault="00271B86" w:rsidP="003C2145"/>
    <w:p w14:paraId="0526A449" w14:textId="3CE36606" w:rsidR="00271B86" w:rsidRPr="00271B86" w:rsidRDefault="00271B86" w:rsidP="00E50596">
      <w:pPr>
        <w:pStyle w:val="FSBullet1"/>
        <w:rPr>
          <w:lang w:eastAsia="en-AU"/>
        </w:rPr>
      </w:pPr>
      <w:r w:rsidRPr="00271B86">
        <w:t xml:space="preserve">Are there any potential public health and safety concerns that may arise from the use of </w:t>
      </w:r>
      <w:r w:rsidRPr="00271B86">
        <w:rPr>
          <w:lang w:val="en-NZ"/>
        </w:rPr>
        <w:t xml:space="preserve">these substances </w:t>
      </w:r>
      <w:r w:rsidRPr="00271B86">
        <w:t xml:space="preserve">as processing aids in the </w:t>
      </w:r>
      <w:r w:rsidR="00230B05" w:rsidRPr="00230B05">
        <w:t>manufacture</w:t>
      </w:r>
      <w:r w:rsidR="00623CC0">
        <w:t xml:space="preserve"> </w:t>
      </w:r>
      <w:r w:rsidRPr="00271B86">
        <w:t>of wine in Australia and New Zealand?</w:t>
      </w:r>
    </w:p>
    <w:p w14:paraId="36793393" w14:textId="77777777" w:rsidR="00271B86" w:rsidRPr="00271B86" w:rsidRDefault="00271B86" w:rsidP="00271B86">
      <w:pPr>
        <w:widowControl/>
        <w:ind w:left="502"/>
        <w:rPr>
          <w:rFonts w:cs="Arial"/>
          <w:lang w:bidi="ar-SA"/>
        </w:rPr>
      </w:pPr>
    </w:p>
    <w:p w14:paraId="62BC6AF0" w14:textId="06290001" w:rsidR="00271B86" w:rsidRPr="00271B86" w:rsidRDefault="00271B86" w:rsidP="00271B86">
      <w:r w:rsidRPr="00271B86">
        <w:t xml:space="preserve">The technical assessment concluded that the technological purposes of the four processing aids </w:t>
      </w:r>
      <w:r w:rsidR="00793E25">
        <w:t>we</w:t>
      </w:r>
      <w:r w:rsidRPr="00271B86">
        <w:t xml:space="preserve">re justified at levels consistent with good manufacturing practice (GMP), which limits the amount added to the lowest level necessary to accomplish </w:t>
      </w:r>
      <w:r w:rsidR="00621922">
        <w:t xml:space="preserve">a </w:t>
      </w:r>
      <w:r w:rsidRPr="00271B86">
        <w:t>desired effect.</w:t>
      </w:r>
    </w:p>
    <w:p w14:paraId="715F5F89" w14:textId="77777777" w:rsidR="00271B86" w:rsidRPr="00271B86" w:rsidRDefault="00271B86" w:rsidP="00271B86"/>
    <w:p w14:paraId="72E10F9D" w14:textId="1D4D85E4" w:rsidR="00271B86" w:rsidRPr="00271B86" w:rsidRDefault="00271B86" w:rsidP="00271B86">
      <w:r w:rsidRPr="00271B86">
        <w:t xml:space="preserve">The risk assessment determined that there </w:t>
      </w:r>
      <w:r w:rsidR="00793E25">
        <w:t>we</w:t>
      </w:r>
      <w:r w:rsidRPr="00271B86">
        <w:t xml:space="preserve">re no potential public health and safety concerns from </w:t>
      </w:r>
      <w:r w:rsidR="0004424C">
        <w:t>using</w:t>
      </w:r>
      <w:r w:rsidRPr="00271B86">
        <w:t xml:space="preserve"> these substances when used as processing aids </w:t>
      </w:r>
      <w:r w:rsidR="0004424C">
        <w:t xml:space="preserve">to </w:t>
      </w:r>
      <w:r w:rsidR="00623CC0">
        <w:t>manufacture</w:t>
      </w:r>
      <w:r w:rsidR="00623CC0" w:rsidRPr="00271B86">
        <w:t xml:space="preserve"> </w:t>
      </w:r>
      <w:r w:rsidRPr="00271B86">
        <w:t>wine.</w:t>
      </w:r>
    </w:p>
    <w:p w14:paraId="3F20FC30" w14:textId="77777777" w:rsidR="00271B86" w:rsidRPr="00271B86" w:rsidRDefault="00271B86" w:rsidP="00271B86"/>
    <w:p w14:paraId="6F77848B" w14:textId="2820609D" w:rsidR="00271B86" w:rsidRPr="00271B86" w:rsidRDefault="00271B86" w:rsidP="00271B86">
      <w:r>
        <w:t xml:space="preserve">FSANZ </w:t>
      </w:r>
      <w:r w:rsidRPr="00271B86">
        <w:t>note</w:t>
      </w:r>
      <w:r w:rsidR="00793E25">
        <w:t>d</w:t>
      </w:r>
      <w:r w:rsidRPr="00271B86">
        <w:t xml:space="preserve"> that SO</w:t>
      </w:r>
      <w:r w:rsidRPr="00271B86">
        <w:rPr>
          <w:vertAlign w:val="subscript"/>
        </w:rPr>
        <w:t>2</w:t>
      </w:r>
      <w:r w:rsidRPr="00271B86">
        <w:t xml:space="preserve"> is produced during the breakdown of ammonium bisulphite. The technological function of ammonium bisulphite considered for the present Application is as a yeast nutrient and its use as such is technologically justified. </w:t>
      </w:r>
    </w:p>
    <w:p w14:paraId="5724B0CC" w14:textId="77777777" w:rsidR="00271B86" w:rsidRPr="00271B86" w:rsidRDefault="00271B86" w:rsidP="00271B86">
      <w:pPr>
        <w:rPr>
          <w:lang w:bidi="ar-SA"/>
        </w:rPr>
      </w:pPr>
    </w:p>
    <w:p w14:paraId="2C83DA04" w14:textId="77777777" w:rsidR="00271B86" w:rsidRDefault="00271B86" w:rsidP="00271B86">
      <w:pPr>
        <w:rPr>
          <w:lang w:bidi="ar-SA"/>
        </w:rPr>
      </w:pPr>
      <w:r w:rsidRPr="00271B86">
        <w:rPr>
          <w:lang w:bidi="ar-SA"/>
        </w:rPr>
        <w:t>Details of the risk assessment are in SD1</w:t>
      </w:r>
    </w:p>
    <w:p w14:paraId="1161170A" w14:textId="77777777" w:rsidR="002C1A3B" w:rsidRPr="00932F14" w:rsidRDefault="002C1A3B" w:rsidP="002C1A3B">
      <w:pPr>
        <w:pStyle w:val="Heading2"/>
      </w:pPr>
      <w:bookmarkStart w:id="70" w:name="_Toc370223473"/>
      <w:bookmarkStart w:id="71" w:name="_Toc370225388"/>
      <w:bookmarkStart w:id="72" w:name="_Toc485047321"/>
      <w:bookmarkStart w:id="73" w:name="_Toc487795104"/>
      <w:bookmarkStart w:id="74" w:name="_Toc175381450"/>
      <w:bookmarkEnd w:id="68"/>
      <w:bookmarkEnd w:id="69"/>
      <w:r>
        <w:t>2.3</w:t>
      </w:r>
      <w:r>
        <w:tab/>
        <w:t>Risk management</w:t>
      </w:r>
      <w:bookmarkEnd w:id="70"/>
      <w:bookmarkEnd w:id="71"/>
      <w:bookmarkEnd w:id="72"/>
      <w:bookmarkEnd w:id="73"/>
    </w:p>
    <w:p w14:paraId="088551C6" w14:textId="665AF38B" w:rsidR="005C29E4" w:rsidRPr="00271B86" w:rsidRDefault="005C29E4" w:rsidP="005C29E4">
      <w:r w:rsidRPr="00271B86">
        <w:t xml:space="preserve">As the use of a substance as a processing aid requires an express permission in the Code, the risk management options available to FSANZ </w:t>
      </w:r>
      <w:r>
        <w:t>we</w:t>
      </w:r>
      <w:r w:rsidRPr="00271B86">
        <w:t xml:space="preserve">re either to </w:t>
      </w:r>
      <w:r>
        <w:t>reject the</w:t>
      </w:r>
      <w:r w:rsidR="00290483">
        <w:t xml:space="preserve"> draft variation, approve the draft variation or amend and approve the draft variation</w:t>
      </w:r>
      <w:r w:rsidRPr="00271B86">
        <w:t xml:space="preserve">. </w:t>
      </w:r>
    </w:p>
    <w:p w14:paraId="7D9EC5BC" w14:textId="77777777" w:rsidR="005C29E4" w:rsidRPr="00271B86" w:rsidRDefault="005C29E4" w:rsidP="005C29E4">
      <w:pPr>
        <w:rPr>
          <w:rFonts w:eastAsia="Calibri"/>
        </w:rPr>
      </w:pPr>
    </w:p>
    <w:p w14:paraId="604A553C" w14:textId="0256A57E" w:rsidR="00271B86" w:rsidRPr="00271B86" w:rsidRDefault="00271B86" w:rsidP="00271B86">
      <w:r w:rsidRPr="00271B86">
        <w:t xml:space="preserve">There are no public health and safety concerns from the use of chitin-glucan, PVI/PVP co-polymers, ammonium bisulphite and silver chloride when used as processing aids in the </w:t>
      </w:r>
      <w:r w:rsidR="00230B05" w:rsidRPr="00230B05">
        <w:t>manufacture</w:t>
      </w:r>
      <w:r w:rsidRPr="00271B86">
        <w:t xml:space="preserve"> of wine. These processing aids are technologically justified for use in wine and their use meets the definition of a processing aid.</w:t>
      </w:r>
      <w:r w:rsidR="00420958">
        <w:t xml:space="preserve"> For the reasons outlined in section 2.3.3 below, the Code existing labelling provisions are </w:t>
      </w:r>
      <w:r w:rsidR="00420958" w:rsidRPr="00271B86">
        <w:t>appropriate for wine produced using these</w:t>
      </w:r>
      <w:r w:rsidR="00420958">
        <w:t xml:space="preserve"> four</w:t>
      </w:r>
      <w:r w:rsidR="00420958" w:rsidRPr="00271B86">
        <w:t xml:space="preserve"> processing aids</w:t>
      </w:r>
      <w:r w:rsidR="00420958">
        <w:t xml:space="preserve">, including </w:t>
      </w:r>
      <w:r w:rsidR="00420958" w:rsidRPr="00271B86">
        <w:t>ammonium bisulphite</w:t>
      </w:r>
      <w:r w:rsidR="00420958">
        <w:t>.</w:t>
      </w:r>
    </w:p>
    <w:p w14:paraId="1EB4DA22" w14:textId="77777777" w:rsidR="00271B86" w:rsidRPr="00271B86" w:rsidRDefault="00271B86" w:rsidP="00271B86"/>
    <w:p w14:paraId="349291A8" w14:textId="18182B9C" w:rsidR="005C29E4" w:rsidRDefault="005C29E4" w:rsidP="005C29E4">
      <w:pPr>
        <w:rPr>
          <w:rFonts w:eastAsia="Calibri"/>
        </w:rPr>
      </w:pPr>
      <w:r>
        <w:rPr>
          <w:rFonts w:eastAsia="Calibri"/>
        </w:rPr>
        <w:t xml:space="preserve">Therefore, FSANZ approved </w:t>
      </w:r>
      <w:r w:rsidR="004612C1">
        <w:rPr>
          <w:rFonts w:eastAsia="Calibri"/>
        </w:rPr>
        <w:t>the</w:t>
      </w:r>
      <w:r w:rsidRPr="00271B86">
        <w:rPr>
          <w:rFonts w:eastAsia="Calibri"/>
        </w:rPr>
        <w:t xml:space="preserve"> draft variation</w:t>
      </w:r>
      <w:r w:rsidR="00420958">
        <w:rPr>
          <w:rFonts w:eastAsia="Calibri"/>
        </w:rPr>
        <w:t xml:space="preserve"> with two amendments. The two amendments are explained in section 1.6 above. </w:t>
      </w:r>
    </w:p>
    <w:p w14:paraId="62B44FD8" w14:textId="77777777" w:rsidR="00623CC0" w:rsidRDefault="00623CC0" w:rsidP="00271B86"/>
    <w:p w14:paraId="3021F0ED" w14:textId="061D4629" w:rsidR="004F758F" w:rsidRDefault="00623CC0" w:rsidP="00623CC0">
      <w:r w:rsidRPr="00623CC0">
        <w:t>The approved draft variation differs from that sought by the Applicant in one respect. The Applicant had requested that ammonium bisulphite be listed in section S18—5 (Permitted microbial nutrients and microbial nutrient adjuncts). However, ammonium bisulphite will be listed in the table to section S18—9 (Permitted processing aids—various technological purposes) with the technological purpose “microbial nutrient and microbial nutrient adjunct for wine”. Since the risk assessment focussed on the use of ammonium bisulphite in wine only, FSANZ concluded that permissions must be limited to wine under section S18—</w:t>
      </w:r>
      <w:bookmarkStart w:id="75" w:name="_Toc478021527"/>
      <w:r w:rsidR="004F758F" w:rsidRPr="00623CC0">
        <w:t>9</w:t>
      </w:r>
      <w:r w:rsidR="004F758F">
        <w:t>.</w:t>
      </w:r>
    </w:p>
    <w:p w14:paraId="724EA57F" w14:textId="72E0AB8B" w:rsidR="00271B86" w:rsidRDefault="00271B86" w:rsidP="004F758F">
      <w:pPr>
        <w:pStyle w:val="Heading3"/>
      </w:pPr>
      <w:bookmarkStart w:id="76" w:name="_Toc487795105"/>
      <w:r>
        <w:t>2.3</w:t>
      </w:r>
      <w:r w:rsidRPr="00271B86">
        <w:t>.1</w:t>
      </w:r>
      <w:r w:rsidRPr="00271B86">
        <w:tab/>
      </w:r>
      <w:bookmarkStart w:id="77" w:name="_Toc408583004"/>
      <w:bookmarkStart w:id="78" w:name="_Toc427676501"/>
      <w:bookmarkStart w:id="79" w:name="_Toc454787477"/>
      <w:r w:rsidRPr="00271B86">
        <w:t>Levels of addition</w:t>
      </w:r>
      <w:bookmarkEnd w:id="75"/>
      <w:bookmarkEnd w:id="77"/>
      <w:bookmarkEnd w:id="78"/>
      <w:bookmarkEnd w:id="79"/>
      <w:bookmarkEnd w:id="76"/>
      <w:r w:rsidRPr="00271B86">
        <w:t xml:space="preserve"> </w:t>
      </w:r>
    </w:p>
    <w:p w14:paraId="4E2FEE06" w14:textId="523D954C" w:rsidR="00271B86" w:rsidRPr="00271B86" w:rsidRDefault="00271B86" w:rsidP="00271B86">
      <w:bookmarkStart w:id="80" w:name="_Toc427676503"/>
      <w:bookmarkStart w:id="81" w:name="_Toc454787478"/>
      <w:r w:rsidRPr="00271B86">
        <w:t xml:space="preserve">In the absence of any public health or safety concerns identified by the risk assessment conducted by FSANZ, there </w:t>
      </w:r>
      <w:r w:rsidR="00793E25">
        <w:t>was</w:t>
      </w:r>
      <w:r w:rsidR="00793E25" w:rsidRPr="00271B86">
        <w:t xml:space="preserve"> </w:t>
      </w:r>
      <w:r w:rsidRPr="00271B86">
        <w:t>no reason to limit the levels of addition apart from the requirement to use in accordance with GMP.</w:t>
      </w:r>
    </w:p>
    <w:p w14:paraId="1FCB43CF" w14:textId="06FBB124" w:rsidR="00271B86" w:rsidRPr="00271B86" w:rsidRDefault="00271B86" w:rsidP="00D90833">
      <w:pPr>
        <w:pStyle w:val="Heading3"/>
      </w:pPr>
      <w:bookmarkStart w:id="82" w:name="_Toc477421843"/>
      <w:bookmarkStart w:id="83" w:name="_Toc478021528"/>
      <w:bookmarkStart w:id="84" w:name="_Toc487795106"/>
      <w:r>
        <w:lastRenderedPageBreak/>
        <w:t>2.3</w:t>
      </w:r>
      <w:r w:rsidRPr="00271B86">
        <w:t>.2</w:t>
      </w:r>
      <w:r w:rsidRPr="00271B86">
        <w:tab/>
        <w:t>Specification</w:t>
      </w:r>
      <w:bookmarkEnd w:id="80"/>
      <w:bookmarkEnd w:id="81"/>
      <w:r w:rsidRPr="00271B86">
        <w:t>s</w:t>
      </w:r>
      <w:bookmarkEnd w:id="82"/>
      <w:bookmarkEnd w:id="83"/>
      <w:bookmarkEnd w:id="84"/>
      <w:r w:rsidRPr="00271B86">
        <w:t xml:space="preserve"> </w:t>
      </w:r>
    </w:p>
    <w:p w14:paraId="53F517B1" w14:textId="77777777" w:rsidR="00271B86" w:rsidRPr="00271B86" w:rsidRDefault="00271B86" w:rsidP="00271B86">
      <w:pPr>
        <w:rPr>
          <w:rFonts w:cs="Arial"/>
          <w:szCs w:val="20"/>
          <w:lang w:bidi="ar-SA"/>
        </w:rPr>
      </w:pPr>
      <w:r w:rsidRPr="00271B86">
        <w:rPr>
          <w:rFonts w:cs="Arial"/>
          <w:szCs w:val="20"/>
          <w:lang w:bidi="ar-SA"/>
        </w:rPr>
        <w:t xml:space="preserve">As </w:t>
      </w:r>
      <w:r w:rsidRPr="00271B86">
        <w:rPr>
          <w:rFonts w:eastAsia="Calibri"/>
          <w:szCs w:val="22"/>
          <w:lang w:bidi="ar-SA"/>
        </w:rPr>
        <w:t xml:space="preserve">OIV specifications </w:t>
      </w:r>
      <w:r w:rsidRPr="00271B86">
        <w:rPr>
          <w:rFonts w:cs="Arial"/>
          <w:szCs w:val="20"/>
          <w:lang w:bidi="ar-SA"/>
        </w:rPr>
        <w:t xml:space="preserve">already exist in secondary references in section S3—3(j), no new specifications are required. Analytical methods are available for detection and quantification of these processing aids (Refer to SD1). </w:t>
      </w:r>
    </w:p>
    <w:p w14:paraId="7C9AC3AE" w14:textId="5D6B9CB9" w:rsidR="00271B86" w:rsidRPr="00271B86" w:rsidRDefault="00271B86" w:rsidP="00D90833">
      <w:pPr>
        <w:pStyle w:val="Heading3"/>
      </w:pPr>
      <w:bookmarkStart w:id="85" w:name="_Toc426969207"/>
      <w:bookmarkStart w:id="86" w:name="_Toc427676505"/>
      <w:bookmarkStart w:id="87" w:name="_Toc454787480"/>
      <w:bookmarkStart w:id="88" w:name="_Toc477421844"/>
      <w:bookmarkStart w:id="89" w:name="_Toc478021529"/>
      <w:bookmarkStart w:id="90" w:name="_Toc487795107"/>
      <w:r>
        <w:t>2.3</w:t>
      </w:r>
      <w:r w:rsidRPr="00271B86">
        <w:t>.3</w:t>
      </w:r>
      <w:r w:rsidRPr="00271B86">
        <w:tab/>
        <w:t>Labelling</w:t>
      </w:r>
      <w:bookmarkEnd w:id="85"/>
      <w:bookmarkEnd w:id="86"/>
      <w:bookmarkEnd w:id="87"/>
      <w:bookmarkEnd w:id="88"/>
      <w:bookmarkEnd w:id="89"/>
      <w:bookmarkEnd w:id="90"/>
    </w:p>
    <w:p w14:paraId="5851D701" w14:textId="6313D8B5" w:rsidR="00271B86" w:rsidRPr="00271B86" w:rsidRDefault="00271B86" w:rsidP="00271B86">
      <w:r w:rsidRPr="00271B86">
        <w:t>FSANZ consider</w:t>
      </w:r>
      <w:r w:rsidR="00A61B9C">
        <w:t>ed</w:t>
      </w:r>
      <w:r w:rsidRPr="00271B86">
        <w:t xml:space="preserve"> the existing labelling requirements in the Code are appropriate for wine produced using these processing aids. </w:t>
      </w:r>
    </w:p>
    <w:p w14:paraId="56B237AD" w14:textId="77777777" w:rsidR="00271B86" w:rsidRPr="00271B86" w:rsidRDefault="00271B86" w:rsidP="001B3E14">
      <w:pPr>
        <w:shd w:val="clear" w:color="auto" w:fill="FFFFFF" w:themeFill="background1"/>
      </w:pPr>
    </w:p>
    <w:p w14:paraId="0E0EBA6C" w14:textId="40B24873" w:rsidR="00271B86" w:rsidRPr="00271B86" w:rsidRDefault="00271B86" w:rsidP="001B3E14">
      <w:pPr>
        <w:shd w:val="clear" w:color="auto" w:fill="FFFFFF" w:themeFill="background1"/>
      </w:pPr>
      <w:r w:rsidRPr="00C6765C">
        <w:t xml:space="preserve">As a general rule, </w:t>
      </w:r>
      <w:r w:rsidR="008B7C8B" w:rsidRPr="00C6765C">
        <w:t>wine as a standardised alcoholic beverage is</w:t>
      </w:r>
      <w:r w:rsidRPr="00C6765C">
        <w:t xml:space="preserve"> exempt from the requirement to </w:t>
      </w:r>
      <w:r w:rsidR="008E5407" w:rsidRPr="00C6765C">
        <w:t>provide a</w:t>
      </w:r>
      <w:r w:rsidRPr="001B3E14">
        <w:t xml:space="preserve"> statement of ingredients</w:t>
      </w:r>
      <w:r w:rsidR="008E5407" w:rsidRPr="001B3E14">
        <w:t>, including processing aids,</w:t>
      </w:r>
      <w:r w:rsidRPr="001B3E14">
        <w:t xml:space="preserve"> in accordance with paragraph 1.2.4—</w:t>
      </w:r>
      <w:r w:rsidR="008E5407" w:rsidRPr="001B3E14">
        <w:t>2</w:t>
      </w:r>
      <w:r w:rsidRPr="001B3E14">
        <w:t>(</w:t>
      </w:r>
      <w:r w:rsidR="008E5407" w:rsidRPr="001B3E14">
        <w:t>3</w:t>
      </w:r>
      <w:r w:rsidRPr="001B3E14">
        <w:t>)(</w:t>
      </w:r>
      <w:r w:rsidR="008E5407" w:rsidRPr="001B3E14">
        <w:t>b</w:t>
      </w:r>
      <w:r w:rsidRPr="001B3E14">
        <w:t xml:space="preserve">) of Standard 1.2.4 – Information requirements – statement of ingredients. </w:t>
      </w:r>
    </w:p>
    <w:p w14:paraId="66127B27" w14:textId="77777777" w:rsidR="00271B86" w:rsidRPr="00271B86" w:rsidRDefault="00271B86" w:rsidP="00271B86"/>
    <w:p w14:paraId="6255C203" w14:textId="77777777" w:rsidR="00D34C07" w:rsidRDefault="00271B86" w:rsidP="00271B86">
      <w:r w:rsidRPr="00271B86">
        <w:t>The use of ammonium bisulphite as a processing aid may result in the incidental presence of SO</w:t>
      </w:r>
      <w:r w:rsidRPr="00271B86">
        <w:rPr>
          <w:vertAlign w:val="subscript"/>
        </w:rPr>
        <w:t xml:space="preserve">2 </w:t>
      </w:r>
      <w:r w:rsidRPr="00271B86">
        <w:t>in the final wine for sale. A</w:t>
      </w:r>
      <w:r w:rsidRPr="00271B86">
        <w:rPr>
          <w:rFonts w:cs="Arial"/>
        </w:rPr>
        <w:t>dded s</w:t>
      </w:r>
      <w:r w:rsidRPr="00271B86">
        <w:t>ulphites in concentrations of 10 mg/kg or more are required to be declared if present in a food for sale, including when present as a processing aid, or an ingredient or component of a processing aid</w:t>
      </w:r>
      <w:r w:rsidR="00D34C07">
        <w:t xml:space="preserve">, in </w:t>
      </w:r>
      <w:r w:rsidRPr="00271B86">
        <w:t xml:space="preserve">section 1.2.3—4 of Standard 1.2.3. </w:t>
      </w:r>
    </w:p>
    <w:p w14:paraId="155CA4AC" w14:textId="034D63DA" w:rsidR="00271B86" w:rsidRPr="00271B86" w:rsidRDefault="00271B86" w:rsidP="00271B86">
      <w:pPr>
        <w:rPr>
          <w:lang w:eastAsia="en-AU"/>
        </w:rPr>
      </w:pPr>
      <w:r w:rsidRPr="00271B86">
        <w:t xml:space="preserve">The declaration must be provided </w:t>
      </w:r>
      <w:r w:rsidR="0097463B">
        <w:t xml:space="preserve">on the label, or where a food is not required to bear a label, displayed in connection with the food or provided to the purchaser on request </w:t>
      </w:r>
      <w:r w:rsidR="00D34C07">
        <w:t xml:space="preserve">in </w:t>
      </w:r>
      <w:r w:rsidRPr="00271B86">
        <w:t>Standard 1.2.1.</w:t>
      </w:r>
      <w:r w:rsidR="0097463B" w:rsidRPr="00271B86">
        <w:rPr>
          <w:lang w:eastAsia="en-AU"/>
        </w:rPr>
        <w:t xml:space="preserve"> </w:t>
      </w:r>
      <w:r w:rsidR="004F7888">
        <w:rPr>
          <w:lang w:eastAsia="en-AU"/>
        </w:rPr>
        <w:t xml:space="preserve">Food businesses </w:t>
      </w:r>
      <w:r w:rsidR="00A171F5">
        <w:rPr>
          <w:lang w:eastAsia="en-AU"/>
        </w:rPr>
        <w:t xml:space="preserve">will </w:t>
      </w:r>
      <w:r w:rsidRPr="00271B86">
        <w:rPr>
          <w:lang w:eastAsia="en-AU"/>
        </w:rPr>
        <w:t xml:space="preserve">need to ensure </w:t>
      </w:r>
      <w:r w:rsidR="006727C2">
        <w:rPr>
          <w:lang w:eastAsia="en-AU"/>
        </w:rPr>
        <w:t xml:space="preserve">wine </w:t>
      </w:r>
      <w:r w:rsidR="007072CA">
        <w:rPr>
          <w:lang w:eastAsia="en-AU"/>
        </w:rPr>
        <w:t xml:space="preserve">manufactured </w:t>
      </w:r>
      <w:r w:rsidR="006727C2">
        <w:rPr>
          <w:lang w:eastAsia="en-AU"/>
        </w:rPr>
        <w:t xml:space="preserve">using ammonium bisulphite as a processing aid </w:t>
      </w:r>
      <w:r w:rsidRPr="00271B86">
        <w:rPr>
          <w:lang w:eastAsia="en-AU"/>
        </w:rPr>
        <w:t>compl</w:t>
      </w:r>
      <w:r w:rsidR="00983FAE">
        <w:rPr>
          <w:lang w:eastAsia="en-AU"/>
        </w:rPr>
        <w:t>ies</w:t>
      </w:r>
      <w:r w:rsidRPr="00271B86">
        <w:rPr>
          <w:lang w:eastAsia="en-AU"/>
        </w:rPr>
        <w:t xml:space="preserve"> with the</w:t>
      </w:r>
      <w:r w:rsidR="006727C2">
        <w:rPr>
          <w:lang w:eastAsia="en-AU"/>
        </w:rPr>
        <w:t>se</w:t>
      </w:r>
      <w:r w:rsidRPr="00271B86">
        <w:rPr>
          <w:lang w:eastAsia="en-AU"/>
        </w:rPr>
        <w:t xml:space="preserve"> declaration requirements.</w:t>
      </w:r>
    </w:p>
    <w:p w14:paraId="0AB90F0A" w14:textId="220C2EFA" w:rsidR="002C1A3B" w:rsidRPr="008C301D" w:rsidRDefault="002C1A3B" w:rsidP="002C1A3B">
      <w:pPr>
        <w:pStyle w:val="Heading2"/>
      </w:pPr>
      <w:bookmarkStart w:id="91" w:name="_Toc309291814"/>
      <w:bookmarkStart w:id="92" w:name="_Toc370225389"/>
      <w:bookmarkStart w:id="93" w:name="_Toc485047322"/>
      <w:bookmarkStart w:id="94" w:name="_Toc487795108"/>
      <w:bookmarkStart w:id="95" w:name="_Toc286391012"/>
      <w:bookmarkEnd w:id="74"/>
      <w:r>
        <w:t>2</w:t>
      </w:r>
      <w:r w:rsidRPr="008C301D">
        <w:t>.</w:t>
      </w:r>
      <w:r>
        <w:t>4</w:t>
      </w:r>
      <w:r w:rsidRPr="008C301D">
        <w:tab/>
        <w:t>Risk communication</w:t>
      </w:r>
      <w:bookmarkEnd w:id="91"/>
      <w:bookmarkEnd w:id="92"/>
      <w:bookmarkEnd w:id="93"/>
      <w:bookmarkEnd w:id="94"/>
      <w:r w:rsidRPr="008C301D">
        <w:t xml:space="preserve"> </w:t>
      </w:r>
    </w:p>
    <w:p w14:paraId="7882B6AA" w14:textId="77777777" w:rsidR="002C1A3B" w:rsidRPr="00CA3CAF" w:rsidRDefault="002C1A3B" w:rsidP="002C1A3B">
      <w:pPr>
        <w:pStyle w:val="Heading3"/>
      </w:pPr>
      <w:bookmarkStart w:id="96" w:name="_Toc300933437"/>
      <w:bookmarkStart w:id="97" w:name="_Toc370223475"/>
      <w:bookmarkStart w:id="98" w:name="_Toc370225390"/>
      <w:bookmarkStart w:id="99" w:name="_Toc485047323"/>
      <w:bookmarkStart w:id="100" w:name="_Toc487795109"/>
      <w:r w:rsidRPr="00CA3CAF">
        <w:t>2.4.1</w:t>
      </w:r>
      <w:r w:rsidRPr="00CA3CAF">
        <w:tab/>
        <w:t>Consultation</w:t>
      </w:r>
      <w:bookmarkEnd w:id="96"/>
      <w:bookmarkEnd w:id="97"/>
      <w:bookmarkEnd w:id="98"/>
      <w:bookmarkEnd w:id="99"/>
      <w:bookmarkEnd w:id="100"/>
    </w:p>
    <w:p w14:paraId="49A69543" w14:textId="6B45A884" w:rsidR="002C1A3B" w:rsidRPr="00524A68" w:rsidRDefault="002C1A3B" w:rsidP="002C1A3B">
      <w:pPr>
        <w:rPr>
          <w:szCs w:val="22"/>
        </w:rPr>
      </w:pPr>
      <w:r w:rsidRPr="00524A68">
        <w:rPr>
          <w:szCs w:val="22"/>
        </w:rPr>
        <w:t xml:space="preserve">Consultation is a key part of FSANZ’s standards development process. </w:t>
      </w:r>
      <w:r w:rsidR="00F671AF">
        <w:rPr>
          <w:szCs w:val="22"/>
        </w:rPr>
        <w:t xml:space="preserve">Public submissions on a proposed draft variation to Standard 4.5.1 and Schedule 18 were called for from </w:t>
      </w:r>
      <w:r w:rsidR="00D34C07">
        <w:rPr>
          <w:szCs w:val="22"/>
        </w:rPr>
        <w:t xml:space="preserve">26 April 2017 </w:t>
      </w:r>
      <w:r w:rsidR="00F671AF">
        <w:rPr>
          <w:szCs w:val="22"/>
        </w:rPr>
        <w:t xml:space="preserve">to </w:t>
      </w:r>
      <w:r w:rsidR="00D34C07">
        <w:rPr>
          <w:szCs w:val="22"/>
        </w:rPr>
        <w:t>7 June 2017</w:t>
      </w:r>
      <w:r w:rsidR="00F671AF">
        <w:rPr>
          <w:szCs w:val="22"/>
        </w:rPr>
        <w:t xml:space="preserve">. </w:t>
      </w:r>
    </w:p>
    <w:p w14:paraId="2C7385FF" w14:textId="77777777" w:rsidR="002C1A3B" w:rsidRPr="00524A68" w:rsidRDefault="002C1A3B" w:rsidP="002C1A3B">
      <w:pPr>
        <w:rPr>
          <w:szCs w:val="22"/>
        </w:rPr>
      </w:pPr>
    </w:p>
    <w:p w14:paraId="2F1701CE" w14:textId="77777777" w:rsidR="004A4763" w:rsidRPr="004F6226" w:rsidRDefault="004A4763" w:rsidP="004A4763">
      <w:r>
        <w:t xml:space="preserve">The call for submissions was notified through a media release, Food Standards News and through FSANZ’s social media channels. </w:t>
      </w:r>
    </w:p>
    <w:p w14:paraId="20ACFD7A" w14:textId="77777777" w:rsidR="004A4763" w:rsidRPr="004F6226" w:rsidRDefault="004A4763" w:rsidP="004A4763"/>
    <w:p w14:paraId="1B5FFDA9" w14:textId="2EF7DFBE" w:rsidR="002C1A3B" w:rsidRPr="00793E25" w:rsidRDefault="004A4763" w:rsidP="002C1A3B">
      <w:pPr>
        <w:rPr>
          <w:szCs w:val="22"/>
        </w:rPr>
      </w:pPr>
      <w:r w:rsidRPr="004F6226">
        <w:t xml:space="preserve">Three submissions were received; two from government jurisdictions and one from </w:t>
      </w:r>
      <w:r>
        <w:t>a private individual</w:t>
      </w:r>
      <w:r w:rsidRPr="004F6226">
        <w:t xml:space="preserve">. </w:t>
      </w:r>
      <w:r w:rsidRPr="004F6226">
        <w:rPr>
          <w:szCs w:val="22"/>
        </w:rPr>
        <w:t xml:space="preserve">All comments were considered by the FSANZ Board. FSANZ acknowledges the time taken by these organisations as all comments received contribute to the rigour of our </w:t>
      </w:r>
      <w:r w:rsidRPr="00212A06">
        <w:rPr>
          <w:szCs w:val="22"/>
        </w:rPr>
        <w:t xml:space="preserve">assessment.  </w:t>
      </w:r>
    </w:p>
    <w:p w14:paraId="0B322C98" w14:textId="22CDAA19" w:rsidR="002C1A3B" w:rsidRPr="002C1A3B" w:rsidRDefault="002C1A3B" w:rsidP="002C1A3B">
      <w:pPr>
        <w:pStyle w:val="Heading2"/>
      </w:pPr>
      <w:bookmarkStart w:id="101" w:name="_Toc370223477"/>
      <w:bookmarkStart w:id="102" w:name="_Toc370225392"/>
      <w:bookmarkStart w:id="103" w:name="_Toc485047324"/>
      <w:bookmarkStart w:id="104" w:name="_Toc487795110"/>
      <w:bookmarkStart w:id="105" w:name="_Toc309291816"/>
      <w:bookmarkStart w:id="106" w:name="_Toc300933448"/>
      <w:bookmarkStart w:id="107" w:name="_Toc300933577"/>
      <w:bookmarkStart w:id="108" w:name="_Toc301535601"/>
      <w:bookmarkStart w:id="109" w:name="_Toc309385464"/>
      <w:bookmarkStart w:id="110" w:name="_Toc175381456"/>
      <w:bookmarkEnd w:id="47"/>
      <w:bookmarkEnd w:id="48"/>
      <w:bookmarkEnd w:id="49"/>
      <w:bookmarkEnd w:id="50"/>
      <w:bookmarkEnd w:id="51"/>
      <w:bookmarkEnd w:id="52"/>
      <w:bookmarkEnd w:id="95"/>
      <w:r w:rsidRPr="002C1A3B">
        <w:t>2.5</w:t>
      </w:r>
      <w:r w:rsidRPr="002C1A3B">
        <w:tab/>
        <w:t>FSANZ Act assessment requirements</w:t>
      </w:r>
      <w:bookmarkEnd w:id="101"/>
      <w:bookmarkEnd w:id="102"/>
      <w:bookmarkEnd w:id="103"/>
      <w:bookmarkEnd w:id="104"/>
    </w:p>
    <w:p w14:paraId="1EE57473" w14:textId="2B6EE5F5" w:rsidR="002C1A3B" w:rsidRPr="002C1A3B" w:rsidRDefault="002C1A3B" w:rsidP="002C1A3B">
      <w:pPr>
        <w:pStyle w:val="Heading3"/>
      </w:pPr>
      <w:bookmarkStart w:id="111" w:name="_Toc370223478"/>
      <w:bookmarkStart w:id="112" w:name="_Toc370225393"/>
      <w:bookmarkStart w:id="113" w:name="_Toc485047325"/>
      <w:bookmarkStart w:id="114" w:name="_Toc487795111"/>
      <w:bookmarkEnd w:id="105"/>
      <w:bookmarkEnd w:id="106"/>
      <w:bookmarkEnd w:id="107"/>
      <w:bookmarkEnd w:id="108"/>
      <w:bookmarkEnd w:id="109"/>
      <w:r w:rsidRPr="002C1A3B">
        <w:t>2.5.1</w:t>
      </w:r>
      <w:r w:rsidRPr="002C1A3B">
        <w:tab/>
      </w:r>
      <w:r w:rsidRPr="00524A68">
        <w:t xml:space="preserve">Section </w:t>
      </w:r>
      <w:r w:rsidRPr="00793E25">
        <w:t>29</w:t>
      </w:r>
      <w:bookmarkEnd w:id="111"/>
      <w:bookmarkEnd w:id="112"/>
      <w:bookmarkEnd w:id="113"/>
      <w:bookmarkEnd w:id="114"/>
    </w:p>
    <w:p w14:paraId="63B120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0C7BDAA9" w14:textId="77777777" w:rsidR="00D34C07" w:rsidRPr="00D34C07" w:rsidRDefault="00D34C07" w:rsidP="00D34C07">
      <w:r w:rsidRPr="00D34C07">
        <w:t xml:space="preserve">FSANZ is required to consider the impact of various regulatory and non-regulatory options on all sectors of the community, especially relevant stakeholders who may be affected by this Application. </w:t>
      </w:r>
    </w:p>
    <w:p w14:paraId="068037D3" w14:textId="77777777" w:rsidR="00D34C07" w:rsidRPr="00D34C07" w:rsidRDefault="00D34C07" w:rsidP="00D34C07"/>
    <w:p w14:paraId="4FDDA19F" w14:textId="77777777" w:rsidR="002E1CC2" w:rsidRDefault="00D34C07" w:rsidP="00D34C07">
      <w:pPr>
        <w:rPr>
          <w:bCs/>
        </w:rPr>
      </w:pPr>
      <w:r w:rsidRPr="00D34C07">
        <w:rPr>
          <w:bCs/>
        </w:rPr>
        <w:t xml:space="preserve">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w:t>
      </w:r>
    </w:p>
    <w:p w14:paraId="7FEA567E" w14:textId="048E28CE" w:rsidR="00D34C07" w:rsidRPr="00D34C07" w:rsidRDefault="00D34C07" w:rsidP="00D34C07">
      <w:pPr>
        <w:rPr>
          <w:bCs/>
        </w:rPr>
      </w:pPr>
      <w:r w:rsidRPr="00D34C07">
        <w:rPr>
          <w:bCs/>
        </w:rPr>
        <w:lastRenderedPageBreak/>
        <w:t>However, FSANZ undertook a limited impact analysis.</w:t>
      </w:r>
    </w:p>
    <w:p w14:paraId="5C050C7E" w14:textId="77777777" w:rsidR="00D34C07" w:rsidRPr="00D34C07" w:rsidRDefault="00D34C07" w:rsidP="00D34C07">
      <w:pPr>
        <w:rPr>
          <w:bCs/>
        </w:rPr>
      </w:pPr>
    </w:p>
    <w:p w14:paraId="48BD2D31" w14:textId="77777777" w:rsidR="00D34C07" w:rsidRPr="00D34C07" w:rsidRDefault="00D34C07" w:rsidP="00D34C07">
      <w:r w:rsidRPr="00D34C07">
        <w:t>The consideration of the costs and benefits of the variation was not intended to be an exhaustive, quantitative economic analysis and, most of the effects considered cannot be assigned a dollar value.</w:t>
      </w:r>
    </w:p>
    <w:p w14:paraId="1C7B8E77" w14:textId="77777777" w:rsidR="00D34C07" w:rsidRPr="00D34C07" w:rsidRDefault="00D34C07" w:rsidP="00D34C07"/>
    <w:p w14:paraId="4B1520A7" w14:textId="77777777" w:rsidR="00D34C07" w:rsidRPr="00D34C07" w:rsidRDefault="00D34C07" w:rsidP="00D34C07">
      <w:r w:rsidRPr="00D34C07">
        <w:t>Rather, the assessment aimed to highlight the qualitative effects that are relevant to each option. These considerations were deliberately limited to broad areas such as trade, consumer information and compliance.</w:t>
      </w:r>
    </w:p>
    <w:p w14:paraId="04929411" w14:textId="77777777" w:rsidR="00D34C07" w:rsidRPr="00D34C07" w:rsidRDefault="00D34C07" w:rsidP="00D34C07"/>
    <w:p w14:paraId="06470B26" w14:textId="77777777" w:rsidR="00D34C07" w:rsidRPr="00D34C07" w:rsidRDefault="00D34C07" w:rsidP="00D34C07">
      <w:r w:rsidRPr="00D34C07">
        <w:t>The use of these substances as processing aids is voluntary and therefore the changes are deregulatory in nature.</w:t>
      </w:r>
    </w:p>
    <w:p w14:paraId="6E836268" w14:textId="77777777" w:rsidR="00D34C07" w:rsidRPr="00D34C07" w:rsidRDefault="00D34C07" w:rsidP="00D34C07">
      <w:pPr>
        <w:rPr>
          <w:lang w:val="en-AU"/>
        </w:rPr>
      </w:pPr>
    </w:p>
    <w:p w14:paraId="41631310" w14:textId="77777777" w:rsidR="00D34C07" w:rsidRPr="00D34C07" w:rsidRDefault="00D34C07" w:rsidP="00D34C07">
      <w:pPr>
        <w:rPr>
          <w:lang w:val="en-AU"/>
        </w:rPr>
      </w:pPr>
      <w:r w:rsidRPr="00D34C07">
        <w:rPr>
          <w:lang w:val="en-AU"/>
        </w:rPr>
        <w:t xml:space="preserve">In considering the costs and benefits of permission for the use of chitin-glucan, PVI/PVP co-polymers, ammonium bisulphite and silver chloride as processing aids for wine, FSANZ concluded that there would be benefits to the wine industry and consumers in particular. </w:t>
      </w:r>
    </w:p>
    <w:p w14:paraId="10DF1A37" w14:textId="77777777" w:rsidR="00D34C07" w:rsidRPr="00D34C07" w:rsidRDefault="00D34C07" w:rsidP="00D34C07">
      <w:pPr>
        <w:rPr>
          <w:lang w:val="en-AU"/>
        </w:rPr>
      </w:pPr>
    </w:p>
    <w:p w14:paraId="59FD7BCF" w14:textId="221AC3F1" w:rsidR="00D34C07" w:rsidRPr="00D34C07" w:rsidRDefault="00D34C07" w:rsidP="00D34C07">
      <w:pPr>
        <w:rPr>
          <w:lang w:val="en-AU"/>
        </w:rPr>
      </w:pPr>
      <w:r w:rsidRPr="00D34C07">
        <w:rPr>
          <w:lang w:val="en-AU"/>
        </w:rPr>
        <w:t xml:space="preserve">The wine industry benefits by having more processing aids available, which may see gains in </w:t>
      </w:r>
      <w:r>
        <w:rPr>
          <w:lang w:val="en-AU"/>
        </w:rPr>
        <w:t>manufacturing</w:t>
      </w:r>
      <w:r w:rsidRPr="00D34C07">
        <w:rPr>
          <w:lang w:val="en-AU"/>
        </w:rPr>
        <w:t xml:space="preserve"> efficiencies. Improvements in workplace health and safety are possible in the case of ammonium bisulphite as the addition of an aqueous form of this processing aid is safer than current alternatives, which are in powdered form.</w:t>
      </w:r>
      <w:r w:rsidRPr="00D34C07" w:rsidDel="005E63B2">
        <w:rPr>
          <w:lang w:val="en-AU"/>
        </w:rPr>
        <w:t xml:space="preserve"> </w:t>
      </w:r>
      <w:r w:rsidRPr="00D34C07">
        <w:rPr>
          <w:lang w:val="en-AU"/>
        </w:rPr>
        <w:t>Importers of wine will also benefit, as they will be able to offer a wider range of imported wines.</w:t>
      </w:r>
    </w:p>
    <w:p w14:paraId="6C838724" w14:textId="77777777" w:rsidR="00D34C07" w:rsidRPr="00D34C07" w:rsidRDefault="00D34C07" w:rsidP="00D34C07">
      <w:pPr>
        <w:rPr>
          <w:lang w:val="en-AU"/>
        </w:rPr>
      </w:pPr>
    </w:p>
    <w:p w14:paraId="0CE47335" w14:textId="77777777" w:rsidR="00D34C07" w:rsidRPr="00D34C07" w:rsidRDefault="00D34C07" w:rsidP="00D34C07">
      <w:pPr>
        <w:rPr>
          <w:lang w:val="en-AU"/>
        </w:rPr>
      </w:pPr>
      <w:r w:rsidRPr="00D34C07">
        <w:rPr>
          <w:lang w:val="en-AU"/>
        </w:rPr>
        <w:t xml:space="preserve">Consumers will benefit by having increased choice from the importation of international wines that use these processing aids. Consumers may also benefit from superior wines where Australia and New Zealand manufacturers adopt the processing aids, or reduced prices where the processing aids leads to efficiency gains. </w:t>
      </w:r>
    </w:p>
    <w:p w14:paraId="332466EF" w14:textId="77777777" w:rsidR="00D34C07" w:rsidRPr="00D34C07" w:rsidRDefault="00D34C07" w:rsidP="00D34C07">
      <w:pPr>
        <w:rPr>
          <w:lang w:val="en-AU"/>
        </w:rPr>
      </w:pPr>
    </w:p>
    <w:p w14:paraId="168DBEE3" w14:textId="77777777" w:rsidR="00D34C07" w:rsidRPr="00D34C07" w:rsidRDefault="00D34C07" w:rsidP="00D34C07">
      <w:pPr>
        <w:rPr>
          <w:lang w:val="en-AU"/>
        </w:rPr>
      </w:pPr>
      <w:r w:rsidRPr="00D34C07">
        <w:rPr>
          <w:lang w:val="en-AU"/>
        </w:rPr>
        <w:t xml:space="preserve">Permitting the processing aids also satisfies WTO obligations to ensure equal treatment with our trading partners. </w:t>
      </w:r>
    </w:p>
    <w:p w14:paraId="56E0B8B2" w14:textId="77777777" w:rsidR="00D34C07" w:rsidRPr="00D34C07" w:rsidRDefault="00D34C07" w:rsidP="00D34C07">
      <w:pPr>
        <w:rPr>
          <w:lang w:val="en-AU"/>
        </w:rPr>
      </w:pPr>
    </w:p>
    <w:p w14:paraId="1290A20F" w14:textId="77777777" w:rsidR="00D9088F" w:rsidRDefault="00D34C07" w:rsidP="00D34C07">
      <w:r w:rsidRPr="00D34C07">
        <w:t>No costs to consumers, Governments or other stakeholders were identified that would overweigh these benefits. No costs were identified in accepting the Application</w:t>
      </w:r>
      <w:r w:rsidR="00D9088F">
        <w:t>.</w:t>
      </w:r>
    </w:p>
    <w:p w14:paraId="5DF5B8AD" w14:textId="372024EA" w:rsidR="002C1A3B" w:rsidRPr="002C1A3B" w:rsidRDefault="002C1A3B" w:rsidP="00D9088F">
      <w:pPr>
        <w:pStyle w:val="Heading4"/>
        <w:ind w:left="0" w:firstLine="0"/>
      </w:pPr>
      <w:r w:rsidRPr="002C1A3B">
        <w:t>2.5.1.2</w:t>
      </w:r>
      <w:r w:rsidRPr="002C1A3B">
        <w:tab/>
        <w:t>Other measures</w:t>
      </w:r>
    </w:p>
    <w:p w14:paraId="393C469D" w14:textId="77777777" w:rsidR="0034205B" w:rsidRPr="00EB273C" w:rsidRDefault="0034205B" w:rsidP="0034205B">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w:t>
      </w:r>
      <w:r w:rsidRPr="00EB273C">
        <w:t>a result of the Application.</w:t>
      </w:r>
    </w:p>
    <w:p w14:paraId="2FD3FE35" w14:textId="77A9CFD3" w:rsidR="002C1A3B" w:rsidRPr="002C1A3B" w:rsidRDefault="002C1A3B" w:rsidP="002C1A3B">
      <w:pPr>
        <w:pStyle w:val="Heading4"/>
      </w:pPr>
      <w:r w:rsidRPr="002C1A3B">
        <w:t>2.5.1.3</w:t>
      </w:r>
      <w:r w:rsidRPr="002C1A3B">
        <w:tab/>
        <w:t>Any relevant New Zealand standards</w:t>
      </w:r>
    </w:p>
    <w:p w14:paraId="6BC824F9" w14:textId="77777777" w:rsidR="0034205B" w:rsidRDefault="0034205B" w:rsidP="0034205B">
      <w:pPr>
        <w:widowControl/>
        <w:rPr>
          <w:rFonts w:eastAsia="Calibri"/>
          <w:szCs w:val="20"/>
          <w:lang w:bidi="ar-SA"/>
        </w:rPr>
      </w:pPr>
      <w:r w:rsidRPr="004D0410">
        <w:rPr>
          <w:rFonts w:eastAsia="Calibri"/>
          <w:szCs w:val="20"/>
          <w:lang w:bidi="ar-SA"/>
        </w:rPr>
        <w:t xml:space="preserve">The proposed amendment is to both Standard 4.5.1 </w:t>
      </w:r>
      <w:r>
        <w:rPr>
          <w:rFonts w:eastAsia="Calibri"/>
          <w:szCs w:val="20"/>
          <w:lang w:bidi="ar-SA"/>
        </w:rPr>
        <w:t xml:space="preserve">(applies in </w:t>
      </w:r>
      <w:r w:rsidRPr="004D0410">
        <w:rPr>
          <w:rFonts w:eastAsia="Calibri"/>
          <w:szCs w:val="20"/>
          <w:lang w:bidi="ar-SA"/>
        </w:rPr>
        <w:t>Australia only</w:t>
      </w:r>
      <w:r>
        <w:rPr>
          <w:rFonts w:eastAsia="Calibri"/>
          <w:szCs w:val="20"/>
          <w:lang w:bidi="ar-SA"/>
        </w:rPr>
        <w:t>) and</w:t>
      </w:r>
      <w:r w:rsidRPr="004D0410">
        <w:rPr>
          <w:rFonts w:eastAsia="Calibri"/>
          <w:szCs w:val="20"/>
          <w:lang w:bidi="ar-SA"/>
        </w:rPr>
        <w:t xml:space="preserve"> Schedule 18 which</w:t>
      </w:r>
      <w:r>
        <w:rPr>
          <w:rFonts w:eastAsia="Calibri"/>
          <w:szCs w:val="20"/>
          <w:lang w:bidi="ar-SA"/>
        </w:rPr>
        <w:t xml:space="preserve"> is a</w:t>
      </w:r>
      <w:r w:rsidRPr="004D0410">
        <w:rPr>
          <w:rFonts w:eastAsia="Calibri"/>
          <w:szCs w:val="20"/>
          <w:lang w:bidi="ar-SA"/>
        </w:rPr>
        <w:t xml:space="preserve"> joint </w:t>
      </w:r>
      <w:r>
        <w:rPr>
          <w:rFonts w:eastAsia="Calibri"/>
          <w:szCs w:val="20"/>
          <w:lang w:bidi="ar-SA"/>
        </w:rPr>
        <w:t>standard</w:t>
      </w:r>
      <w:r w:rsidRPr="004D0410">
        <w:rPr>
          <w:rFonts w:eastAsia="Calibri"/>
          <w:szCs w:val="20"/>
          <w:lang w:bidi="ar-SA"/>
        </w:rPr>
        <w:t xml:space="preserve">. </w:t>
      </w:r>
    </w:p>
    <w:p w14:paraId="16A7DAB3" w14:textId="70A4A70F" w:rsidR="002C1A3B" w:rsidRPr="002C1A3B" w:rsidRDefault="002C1A3B" w:rsidP="002C1A3B">
      <w:pPr>
        <w:pStyle w:val="Heading4"/>
      </w:pPr>
      <w:r w:rsidRPr="002C1A3B">
        <w:t>2.5.1.4</w:t>
      </w:r>
      <w:r w:rsidRPr="002C1A3B">
        <w:tab/>
        <w:t>Any other relevant matters</w:t>
      </w:r>
    </w:p>
    <w:p w14:paraId="3F8FA972" w14:textId="7995532C" w:rsidR="001F7F63" w:rsidRDefault="001F7F63" w:rsidP="001F7F63">
      <w:pPr>
        <w:rPr>
          <w:lang w:bidi="ar-SA"/>
        </w:rPr>
      </w:pPr>
      <w:bookmarkStart w:id="115" w:name="_Toc370223479"/>
      <w:bookmarkStart w:id="116" w:name="_Toc370225394"/>
      <w:bookmarkStart w:id="117" w:name="_Toc300761897"/>
      <w:bookmarkStart w:id="118" w:name="_Toc300933440"/>
      <w:r>
        <w:t>Other relevant matters are considered below</w:t>
      </w:r>
      <w:r>
        <w:rPr>
          <w:lang w:bidi="ar-SA"/>
        </w:rPr>
        <w:t>.</w:t>
      </w:r>
      <w:r>
        <w:t xml:space="preserve"> </w:t>
      </w:r>
    </w:p>
    <w:p w14:paraId="05645EF9" w14:textId="77777777" w:rsidR="002C1A3B" w:rsidRPr="002C1A3B" w:rsidRDefault="002C1A3B" w:rsidP="002C1A3B">
      <w:pPr>
        <w:pStyle w:val="Heading3"/>
      </w:pPr>
      <w:bookmarkStart w:id="119" w:name="_Toc485047326"/>
      <w:bookmarkStart w:id="120" w:name="_Toc487795112"/>
      <w:r w:rsidRPr="002C1A3B">
        <w:t>2.5.2.</w:t>
      </w:r>
      <w:r w:rsidRPr="002C1A3B">
        <w:tab/>
        <w:t>Subsection 18(1)</w:t>
      </w:r>
      <w:bookmarkEnd w:id="115"/>
      <w:bookmarkEnd w:id="116"/>
      <w:bookmarkEnd w:id="119"/>
      <w:bookmarkEnd w:id="120"/>
      <w:r w:rsidRPr="002C1A3B">
        <w:t xml:space="preserve"> </w:t>
      </w:r>
      <w:bookmarkEnd w:id="117"/>
      <w:bookmarkEnd w:id="118"/>
    </w:p>
    <w:p w14:paraId="769C20CA" w14:textId="2DB030C9" w:rsidR="002C1A3B" w:rsidRPr="002C1A3B" w:rsidRDefault="002C1A3B" w:rsidP="002C1A3B">
      <w:r w:rsidRPr="002C1A3B">
        <w:rPr>
          <w:rFonts w:cs="Arial"/>
        </w:rPr>
        <w:t xml:space="preserve">FSANZ </w:t>
      </w:r>
      <w:r w:rsidRPr="002C1A3B">
        <w:t>considered the three objectives in subsection 18(1) of the FSANZ Act during the assessment.</w:t>
      </w:r>
    </w:p>
    <w:p w14:paraId="5EA2D746" w14:textId="77777777" w:rsidR="002C1A3B" w:rsidRPr="002C1A3B" w:rsidRDefault="002C1A3B" w:rsidP="002C1A3B">
      <w:pPr>
        <w:pStyle w:val="Heading4"/>
        <w:rPr>
          <w:lang w:eastAsia="en-AU"/>
        </w:rPr>
      </w:pPr>
      <w:bookmarkStart w:id="121" w:name="_Toc297029117"/>
      <w:bookmarkStart w:id="122" w:name="_Toc300761898"/>
      <w:bookmarkStart w:id="123" w:name="_Toc300933441"/>
      <w:r w:rsidRPr="002C1A3B">
        <w:rPr>
          <w:lang w:eastAsia="en-AU"/>
        </w:rPr>
        <w:lastRenderedPageBreak/>
        <w:t>2.5.2.1</w:t>
      </w:r>
      <w:r w:rsidRPr="002C1A3B">
        <w:rPr>
          <w:lang w:eastAsia="en-AU"/>
        </w:rPr>
        <w:tab/>
        <w:t>Protection of public health and safety</w:t>
      </w:r>
      <w:bookmarkEnd w:id="121"/>
      <w:bookmarkEnd w:id="122"/>
      <w:bookmarkEnd w:id="123"/>
    </w:p>
    <w:p w14:paraId="6771A8A7" w14:textId="1A8BC22A" w:rsidR="0034205B" w:rsidRPr="00B74380" w:rsidRDefault="0034205B" w:rsidP="0034205B">
      <w:r w:rsidRPr="004D0410">
        <w:t xml:space="preserve">FSANZ </w:t>
      </w:r>
      <w:r w:rsidR="00853B61" w:rsidRPr="004D0410">
        <w:t>undert</w:t>
      </w:r>
      <w:r w:rsidR="00853B61">
        <w:t>ook</w:t>
      </w:r>
      <w:r w:rsidR="00853B61" w:rsidRPr="004D0410">
        <w:t xml:space="preserve"> </w:t>
      </w:r>
      <w:r w:rsidRPr="004D0410">
        <w:t xml:space="preserve">a safety assessment (SD1) and concluded there </w:t>
      </w:r>
      <w:r w:rsidR="00853B61">
        <w:t>we</w:t>
      </w:r>
      <w:r w:rsidRPr="004D0410">
        <w:t xml:space="preserve">re no public health and safety concerns with </w:t>
      </w:r>
      <w:r w:rsidRPr="00B74380">
        <w:t xml:space="preserve">permitting the four processing aids for wine </w:t>
      </w:r>
      <w:r w:rsidR="00941914" w:rsidRPr="00941914">
        <w:t>manufacture</w:t>
      </w:r>
      <w:r w:rsidRPr="00B74380">
        <w:t>.</w:t>
      </w:r>
    </w:p>
    <w:p w14:paraId="599B8C88" w14:textId="4100F582" w:rsidR="002C1A3B" w:rsidRPr="00B74380" w:rsidRDefault="002C1A3B" w:rsidP="00652906">
      <w:pPr>
        <w:pStyle w:val="Heading4"/>
        <w:rPr>
          <w:lang w:eastAsia="en-AU"/>
        </w:rPr>
      </w:pPr>
      <w:bookmarkStart w:id="124" w:name="_Toc300761899"/>
      <w:bookmarkStart w:id="125" w:name="_Toc300933442"/>
      <w:r w:rsidRPr="00B74380">
        <w:rPr>
          <w:lang w:eastAsia="en-AU"/>
        </w:rPr>
        <w:t>2.5.2.2</w:t>
      </w:r>
      <w:r w:rsidRPr="00B74380">
        <w:rPr>
          <w:lang w:eastAsia="en-AU"/>
        </w:rPr>
        <w:tab/>
        <w:t>The provision of adequate information relating to food to enable consumers to make informed choices</w:t>
      </w:r>
      <w:bookmarkEnd w:id="124"/>
      <w:bookmarkEnd w:id="125"/>
    </w:p>
    <w:p w14:paraId="4EBC7267" w14:textId="0D3B8014" w:rsidR="0034205B" w:rsidRPr="00FF6690" w:rsidRDefault="0034205B" w:rsidP="0034205B">
      <w:r w:rsidRPr="00DF3D74">
        <w:t>The labelling requireme</w:t>
      </w:r>
      <w:r>
        <w:t>nts are discussed in Section 2.3</w:t>
      </w:r>
      <w:r w:rsidRPr="00DF3D74">
        <w:t>.</w:t>
      </w:r>
      <w:r>
        <w:t>3</w:t>
      </w:r>
      <w:r w:rsidRPr="00DF3D74">
        <w:t xml:space="preserve"> </w:t>
      </w:r>
      <w:r>
        <w:t>above</w:t>
      </w:r>
      <w:r w:rsidRPr="00DF3D74">
        <w:t>.</w:t>
      </w:r>
      <w:r>
        <w:t xml:space="preserve"> The existing </w:t>
      </w:r>
      <w:r w:rsidR="005D356B">
        <w:t xml:space="preserve">generic </w:t>
      </w:r>
      <w:r>
        <w:t xml:space="preserve">labelling requirements in the Code </w:t>
      </w:r>
      <w:r w:rsidR="00A171F5">
        <w:t xml:space="preserve">are </w:t>
      </w:r>
      <w:r>
        <w:t>considered appropriate for the use of the</w:t>
      </w:r>
      <w:r w:rsidR="00621922">
        <w:t>se</w:t>
      </w:r>
      <w:r>
        <w:t xml:space="preserve"> processing aids</w:t>
      </w:r>
      <w:r w:rsidR="00014FB0">
        <w:t>, where used</w:t>
      </w:r>
      <w:r>
        <w:t xml:space="preserve"> in wine </w:t>
      </w:r>
      <w:r w:rsidR="00941914" w:rsidRPr="00941914">
        <w:t>manufacture</w:t>
      </w:r>
      <w:r>
        <w:t>.</w:t>
      </w:r>
    </w:p>
    <w:p w14:paraId="097068AF" w14:textId="0E5D807A" w:rsidR="002C1A3B" w:rsidRPr="002C1A3B" w:rsidRDefault="002C1A3B" w:rsidP="002C1A3B">
      <w:pPr>
        <w:pStyle w:val="Heading4"/>
        <w:rPr>
          <w:lang w:eastAsia="en-AU"/>
        </w:rPr>
      </w:pPr>
      <w:bookmarkStart w:id="126" w:name="_Toc300761900"/>
      <w:bookmarkStart w:id="127" w:name="_Toc300933443"/>
      <w:r w:rsidRPr="002C1A3B">
        <w:rPr>
          <w:lang w:eastAsia="en-AU"/>
        </w:rPr>
        <w:t>2.5.2.3</w:t>
      </w:r>
      <w:r w:rsidRPr="002C1A3B">
        <w:rPr>
          <w:lang w:eastAsia="en-AU"/>
        </w:rPr>
        <w:tab/>
        <w:t>The prevention of misleading or deceptive conduct</w:t>
      </w:r>
      <w:bookmarkEnd w:id="126"/>
      <w:bookmarkEnd w:id="127"/>
    </w:p>
    <w:p w14:paraId="1E2322F7" w14:textId="77777777" w:rsidR="0034205B" w:rsidRPr="007019A5" w:rsidRDefault="0034205B" w:rsidP="0034205B">
      <w:r w:rsidRPr="007019A5">
        <w:t>No issues were identified.</w:t>
      </w:r>
    </w:p>
    <w:p w14:paraId="3EB7F665" w14:textId="0B9280A2" w:rsidR="002C1A3B" w:rsidRPr="002C1A3B" w:rsidRDefault="002C1A3B" w:rsidP="002C1882">
      <w:pPr>
        <w:pStyle w:val="Heading3"/>
      </w:pPr>
      <w:bookmarkStart w:id="128" w:name="_Toc300761901"/>
      <w:bookmarkStart w:id="129" w:name="_Toc300933444"/>
      <w:bookmarkStart w:id="130" w:name="_Toc370223480"/>
      <w:bookmarkStart w:id="131" w:name="_Toc370225395"/>
      <w:bookmarkStart w:id="132" w:name="_Toc487795113"/>
      <w:r w:rsidRPr="002C1A3B">
        <w:t>2.5.3</w:t>
      </w:r>
      <w:r w:rsidRPr="002C1A3B">
        <w:tab/>
        <w:t xml:space="preserve">Subsection 18(2) </w:t>
      </w:r>
      <w:bookmarkEnd w:id="128"/>
      <w:bookmarkEnd w:id="129"/>
      <w:r w:rsidRPr="002C1A3B">
        <w:t>considerations</w:t>
      </w:r>
      <w:bookmarkEnd w:id="130"/>
      <w:bookmarkEnd w:id="131"/>
      <w:bookmarkEnd w:id="132"/>
    </w:p>
    <w:p w14:paraId="32744866" w14:textId="1A1F5773" w:rsidR="002C1A3B" w:rsidRPr="002C1A3B" w:rsidRDefault="002C1A3B" w:rsidP="002C1A3B">
      <w:pPr>
        <w:rPr>
          <w:rFonts w:cs="Arial"/>
        </w:rPr>
      </w:pPr>
      <w:r w:rsidRPr="002C1A3B">
        <w:rPr>
          <w:rFonts w:cs="Arial"/>
        </w:rPr>
        <w:t xml:space="preserve">FSANZ also had </w:t>
      </w:r>
      <w:proofErr w:type="gramStart"/>
      <w:r w:rsidRPr="002C1A3B">
        <w:rPr>
          <w:rFonts w:cs="Arial"/>
        </w:rPr>
        <w:t>regard</w:t>
      </w:r>
      <w:proofErr w:type="gramEnd"/>
      <w:r w:rsidRPr="002C1A3B">
        <w:rPr>
          <w:rFonts w:cs="Arial"/>
        </w:rPr>
        <w:t xml:space="preserve"> to:</w:t>
      </w:r>
    </w:p>
    <w:p w14:paraId="320A4460" w14:textId="77777777" w:rsidR="002C1A3B" w:rsidRPr="002C1A3B" w:rsidRDefault="002C1A3B" w:rsidP="002C1A3B">
      <w:pPr>
        <w:rPr>
          <w:rFonts w:cs="Arial"/>
        </w:rPr>
      </w:pPr>
    </w:p>
    <w:p w14:paraId="4EEDF01D"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19216F31" w14:textId="77777777" w:rsidR="002C1A3B" w:rsidRPr="002C1A3B" w:rsidRDefault="002C1A3B" w:rsidP="002C1A3B">
      <w:pPr>
        <w:rPr>
          <w:lang w:bidi="ar-SA"/>
        </w:rPr>
      </w:pPr>
    </w:p>
    <w:p w14:paraId="6785C402" w14:textId="42C6D518" w:rsidR="0034205B" w:rsidRPr="007019A5" w:rsidRDefault="0034205B" w:rsidP="0034205B">
      <w:r w:rsidRPr="007019A5">
        <w:t>FSANZ used the best available scientific evidence to conduct the risk analysis, provided in SD1. The Applicant submitted a dossier of scientific studies as part of their Application. Other technical information including</w:t>
      </w:r>
      <w:r>
        <w:t xml:space="preserve"> scientific literature was </w:t>
      </w:r>
      <w:r w:rsidRPr="007019A5">
        <w:t>used in assessing the Application.</w:t>
      </w:r>
    </w:p>
    <w:p w14:paraId="2554658E" w14:textId="4F8D43A3" w:rsidR="002C1A3B" w:rsidRPr="002C1A3B" w:rsidRDefault="002C1A3B" w:rsidP="002C1A3B">
      <w:pPr>
        <w:rPr>
          <w:lang w:bidi="ar-SA"/>
        </w:rPr>
      </w:pPr>
    </w:p>
    <w:p w14:paraId="31C8BA26" w14:textId="77777777" w:rsidR="002C1A3B" w:rsidRPr="002C1A3B" w:rsidRDefault="002C1A3B" w:rsidP="002C1A3B">
      <w:pPr>
        <w:pStyle w:val="FSBullet1"/>
        <w:rPr>
          <w:b/>
        </w:rPr>
      </w:pPr>
      <w:r w:rsidRPr="002C1A3B">
        <w:rPr>
          <w:b/>
        </w:rPr>
        <w:t>the promotion of consistency between domestic and international food standards</w:t>
      </w:r>
    </w:p>
    <w:p w14:paraId="7C9A1B2B" w14:textId="77777777" w:rsidR="002C1A3B" w:rsidRPr="002C1A3B" w:rsidRDefault="002C1A3B" w:rsidP="002C1A3B">
      <w:pPr>
        <w:rPr>
          <w:lang w:bidi="ar-SA"/>
        </w:rPr>
      </w:pPr>
    </w:p>
    <w:p w14:paraId="2A694802" w14:textId="608C42CE" w:rsidR="00CA3CAF" w:rsidRPr="004D0410" w:rsidRDefault="00CA3CAF" w:rsidP="00CA3CAF">
      <w:r w:rsidRPr="00EA3F80">
        <w:t xml:space="preserve">As explained above, the four substances are permitted internationally as processing aids in the </w:t>
      </w:r>
      <w:r w:rsidR="00E50596" w:rsidRPr="00E50596">
        <w:t>manufacture</w:t>
      </w:r>
      <w:r w:rsidRPr="00EA3F80">
        <w:t xml:space="preserve"> of wine. The draft variation bring</w:t>
      </w:r>
      <w:r w:rsidR="00524A68">
        <w:t>s</w:t>
      </w:r>
      <w:r w:rsidRPr="00EA3F80">
        <w:t xml:space="preserve"> domestic food standards into line with those international standards or permissions</w:t>
      </w:r>
      <w:r>
        <w:t xml:space="preserve">. </w:t>
      </w:r>
    </w:p>
    <w:p w14:paraId="12BFFE1C" w14:textId="3EA0E3F4" w:rsidR="002C1A3B" w:rsidRPr="002C1A3B" w:rsidRDefault="002C1A3B" w:rsidP="002C1A3B">
      <w:pPr>
        <w:rPr>
          <w:lang w:bidi="ar-SA"/>
        </w:rPr>
      </w:pPr>
    </w:p>
    <w:p w14:paraId="6A844100" w14:textId="77777777" w:rsidR="002C1A3B" w:rsidRPr="002C1A3B" w:rsidRDefault="002C1A3B" w:rsidP="002C1A3B">
      <w:pPr>
        <w:pStyle w:val="FSBullet1"/>
        <w:rPr>
          <w:b/>
        </w:rPr>
      </w:pPr>
      <w:r w:rsidRPr="002C1A3B">
        <w:rPr>
          <w:b/>
        </w:rPr>
        <w:t>the desirability of an efficient and internationally competitive food industry</w:t>
      </w:r>
    </w:p>
    <w:p w14:paraId="6EBE8C1E" w14:textId="77777777" w:rsidR="002C1A3B" w:rsidRPr="002C1A3B" w:rsidRDefault="002C1A3B" w:rsidP="002C1A3B">
      <w:pPr>
        <w:rPr>
          <w:lang w:bidi="ar-SA"/>
        </w:rPr>
      </w:pPr>
    </w:p>
    <w:p w14:paraId="23B4BCFD" w14:textId="10B98272" w:rsidR="00CA3CAF" w:rsidRPr="007019A5" w:rsidRDefault="00CA3CAF" w:rsidP="00CA3CAF">
      <w:r w:rsidRPr="007019A5">
        <w:t xml:space="preserve">Permission to use </w:t>
      </w:r>
      <w:r>
        <w:t>the four processing aids</w:t>
      </w:r>
      <w:r w:rsidRPr="007019A5">
        <w:t xml:space="preserve"> for wine </w:t>
      </w:r>
      <w:r w:rsidR="00E50596" w:rsidRPr="00E50596">
        <w:t>manufacture</w:t>
      </w:r>
      <w:r w:rsidRPr="007019A5">
        <w:t xml:space="preserve"> provides the wine industry with alternatives to the current </w:t>
      </w:r>
      <w:r>
        <w:t>permitted processing aids</w:t>
      </w:r>
      <w:r w:rsidRPr="007019A5">
        <w:t xml:space="preserve">. Individual wineries will make commercial decisions on which </w:t>
      </w:r>
      <w:r>
        <w:t>processing aids</w:t>
      </w:r>
      <w:r w:rsidRPr="007019A5">
        <w:t xml:space="preserve"> </w:t>
      </w:r>
      <w:r>
        <w:t>are</w:t>
      </w:r>
      <w:r w:rsidRPr="007019A5">
        <w:t xml:space="preserve"> best </w:t>
      </w:r>
      <w:r>
        <w:t xml:space="preserve">suited to </w:t>
      </w:r>
      <w:r w:rsidRPr="007019A5">
        <w:t xml:space="preserve">their </w:t>
      </w:r>
      <w:r>
        <w:t xml:space="preserve">particular </w:t>
      </w:r>
      <w:r w:rsidRPr="007019A5">
        <w:t>products</w:t>
      </w:r>
      <w:r>
        <w:t xml:space="preserve"> and their style of wine </w:t>
      </w:r>
      <w:r w:rsidR="00E50596" w:rsidRPr="00E50596">
        <w:t>manufacture</w:t>
      </w:r>
      <w:r w:rsidRPr="007019A5">
        <w:t>.</w:t>
      </w:r>
    </w:p>
    <w:p w14:paraId="1AA30FC9" w14:textId="24C325D2" w:rsidR="002C1A3B" w:rsidRPr="002C1A3B" w:rsidRDefault="002C1A3B" w:rsidP="002C1A3B">
      <w:pPr>
        <w:rPr>
          <w:lang w:bidi="ar-SA"/>
        </w:rPr>
      </w:pPr>
    </w:p>
    <w:p w14:paraId="7CA13F1F" w14:textId="77777777" w:rsidR="002C1A3B" w:rsidRPr="002C1A3B" w:rsidRDefault="002C1A3B" w:rsidP="002C1A3B">
      <w:pPr>
        <w:pStyle w:val="FSBullet1"/>
        <w:rPr>
          <w:b/>
        </w:rPr>
      </w:pPr>
      <w:r w:rsidRPr="002C1A3B">
        <w:rPr>
          <w:b/>
        </w:rPr>
        <w:t>the promotion of fair trading in food</w:t>
      </w:r>
    </w:p>
    <w:p w14:paraId="50FF95CD" w14:textId="77777777" w:rsidR="002C1A3B" w:rsidRPr="002C1A3B" w:rsidRDefault="002C1A3B" w:rsidP="002C1A3B">
      <w:pPr>
        <w:rPr>
          <w:lang w:bidi="ar-SA"/>
        </w:rPr>
      </w:pPr>
    </w:p>
    <w:p w14:paraId="3776A841" w14:textId="77777777" w:rsidR="00CA3CAF" w:rsidRDefault="00CA3CAF" w:rsidP="00CA3CAF">
      <w:r w:rsidRPr="007019A5">
        <w:t>No issues were identified for this Application relevant to this objective.</w:t>
      </w:r>
    </w:p>
    <w:p w14:paraId="66F80DB7" w14:textId="15A4BFE9" w:rsidR="002C1A3B" w:rsidRPr="002C1A3B" w:rsidRDefault="002C1A3B" w:rsidP="002C1A3B">
      <w:pPr>
        <w:rPr>
          <w:lang w:bidi="ar-SA"/>
        </w:rPr>
      </w:pPr>
    </w:p>
    <w:p w14:paraId="55330BE8"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225CA8BC" w14:textId="77777777" w:rsidR="002C1A3B" w:rsidRPr="002C1A3B" w:rsidRDefault="002C1A3B" w:rsidP="002C1A3B">
      <w:pPr>
        <w:rPr>
          <w:lang w:bidi="ar-SA"/>
        </w:rPr>
      </w:pPr>
    </w:p>
    <w:p w14:paraId="7B5E4A34" w14:textId="7BFC0BC8" w:rsidR="00CA3CAF" w:rsidRPr="00CA3CAF" w:rsidRDefault="00CA3CAF" w:rsidP="002C1882">
      <w:pPr>
        <w:keepNext/>
        <w:keepLines/>
      </w:pPr>
      <w:r w:rsidRPr="00CA3CAF">
        <w:lastRenderedPageBreak/>
        <w:t xml:space="preserve">The Policy Guideline for the </w:t>
      </w:r>
      <w:hyperlink r:id="rId22" w:history="1">
        <w:r w:rsidRPr="00CA3CAF">
          <w:rPr>
            <w:color w:val="3333FF"/>
            <w:u w:val="single"/>
          </w:rPr>
          <w:t>Addition to Food of Substances other than Vitamins and Minerals</w:t>
        </w:r>
      </w:hyperlink>
      <w:r w:rsidRPr="00CA3CAF">
        <w:rPr>
          <w:vertAlign w:val="superscript"/>
        </w:rPr>
        <w:footnoteReference w:id="2"/>
      </w:r>
      <w:r w:rsidRPr="00CA3CAF">
        <w:t xml:space="preserve"> includes specific order policy principles for substances added to achieve a solely technological function, such as food additives. These specific order policy principles state that permission should be granted where:</w:t>
      </w:r>
    </w:p>
    <w:p w14:paraId="6B51B675" w14:textId="63C3B0EF" w:rsidR="00CA3CAF" w:rsidRPr="00CA3CAF" w:rsidRDefault="00CA3CAF" w:rsidP="002C1882">
      <w:pPr>
        <w:pStyle w:val="FSBullet1"/>
      </w:pPr>
      <w:r w:rsidRPr="00CA3CAF">
        <w:t xml:space="preserve">the purpose for adding the substance can be articulated clearly by the </w:t>
      </w:r>
      <w:r w:rsidR="007954B7">
        <w:t>wine produce</w:t>
      </w:r>
      <w:r w:rsidRPr="00CA3CAF">
        <w:t>r as achieving a solely technological function (i.e. the ‘stated purpose’)</w:t>
      </w:r>
    </w:p>
    <w:p w14:paraId="38D1933A" w14:textId="77777777" w:rsidR="00CA3CAF" w:rsidRPr="00CA3CAF" w:rsidRDefault="00CA3CAF" w:rsidP="002C1882">
      <w:pPr>
        <w:pStyle w:val="FSBullet1"/>
      </w:pPr>
      <w:r w:rsidRPr="00CA3CAF">
        <w:t>the addition of the substance to food is safe for human consumption</w:t>
      </w:r>
    </w:p>
    <w:p w14:paraId="5B09E120" w14:textId="77777777" w:rsidR="00CA3CAF" w:rsidRPr="00CA3CAF" w:rsidRDefault="00CA3CAF" w:rsidP="002C1882">
      <w:pPr>
        <w:pStyle w:val="FSBullet1"/>
      </w:pPr>
      <w:r w:rsidRPr="00CA3CAF">
        <w:t>the amounts added are consistent with achieving the technological function</w:t>
      </w:r>
    </w:p>
    <w:p w14:paraId="250E664A" w14:textId="77777777" w:rsidR="00CA3CAF" w:rsidRPr="00CA3CAF" w:rsidRDefault="00CA3CAF" w:rsidP="002C1882">
      <w:pPr>
        <w:pStyle w:val="FSBullet1"/>
      </w:pPr>
      <w:r w:rsidRPr="00CA3CAF">
        <w:t>the substance is added in a quantity and a form which is consistent with delivering the stated purpose</w:t>
      </w:r>
    </w:p>
    <w:p w14:paraId="3476DA4F" w14:textId="77777777" w:rsidR="00CA3CAF" w:rsidRPr="00CA3CAF" w:rsidRDefault="00CA3CAF" w:rsidP="002C1882">
      <w:pPr>
        <w:pStyle w:val="FSBullet1"/>
      </w:pPr>
      <w:proofErr w:type="gramStart"/>
      <w:r w:rsidRPr="00CA3CAF">
        <w:t>no</w:t>
      </w:r>
      <w:proofErr w:type="gramEnd"/>
      <w:r w:rsidRPr="00CA3CAF">
        <w:t xml:space="preserve"> nutrition, health or related claims are to be made in regard to the substance.</w:t>
      </w:r>
    </w:p>
    <w:p w14:paraId="63C26E87" w14:textId="6BCE1CB3" w:rsidR="00524A68" w:rsidRDefault="00CA3CAF" w:rsidP="006C22A7">
      <w:pPr>
        <w:spacing w:before="240"/>
      </w:pPr>
      <w:r w:rsidRPr="00CA3CAF">
        <w:t xml:space="preserve">FSANZ has determined that permitting the four processing aids for wine </w:t>
      </w:r>
      <w:r w:rsidR="00E50596" w:rsidRPr="00E50596">
        <w:t>manufacture</w:t>
      </w:r>
      <w:r w:rsidRPr="00CA3CAF">
        <w:t xml:space="preserve"> is consistent with these specific order policy principles</w:t>
      </w:r>
      <w:bookmarkStart w:id="133" w:name="_Toc11735643"/>
      <w:bookmarkStart w:id="134" w:name="_Toc29883130"/>
      <w:bookmarkStart w:id="135" w:name="_Toc41906817"/>
      <w:bookmarkStart w:id="136" w:name="_Toc41907564"/>
      <w:bookmarkStart w:id="137" w:name="_Toc43112360"/>
      <w:bookmarkEnd w:id="110"/>
    </w:p>
    <w:p w14:paraId="0D430D82" w14:textId="768A5466" w:rsidR="0012388D" w:rsidRDefault="00D15A08" w:rsidP="006C22A7">
      <w:pPr>
        <w:spacing w:before="240"/>
        <w:rPr>
          <w:b/>
          <w:sz w:val="28"/>
          <w:szCs w:val="28"/>
        </w:rPr>
      </w:pPr>
      <w:r w:rsidRPr="006C22A7">
        <w:rPr>
          <w:b/>
          <w:sz w:val="28"/>
          <w:szCs w:val="28"/>
        </w:rPr>
        <w:t>A</w:t>
      </w:r>
      <w:bookmarkEnd w:id="133"/>
      <w:bookmarkEnd w:id="134"/>
      <w:bookmarkEnd w:id="135"/>
      <w:bookmarkEnd w:id="136"/>
      <w:bookmarkEnd w:id="137"/>
      <w:r w:rsidR="00B21055">
        <w:rPr>
          <w:b/>
          <w:sz w:val="28"/>
          <w:szCs w:val="28"/>
        </w:rPr>
        <w:t>ttachments</w:t>
      </w:r>
    </w:p>
    <w:p w14:paraId="6069E202" w14:textId="77777777" w:rsidR="006C22A7" w:rsidRDefault="006C22A7" w:rsidP="00755F02"/>
    <w:p w14:paraId="59103FE4" w14:textId="21A31ADB"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5F6FED83"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63F792B4" w14:textId="77777777" w:rsidR="006C22A7" w:rsidRPr="00793E25" w:rsidRDefault="00456BD5" w:rsidP="00E47D3B">
      <w:pPr>
        <w:ind w:left="567" w:hanging="567"/>
      </w:pPr>
      <w:r w:rsidRPr="00793E25">
        <w:t>C.</w:t>
      </w:r>
      <w:r w:rsidRPr="00793E25">
        <w:tab/>
      </w:r>
      <w:r w:rsidR="00E47D3B" w:rsidRPr="00793E25">
        <w:t xml:space="preserve">Draft variation/s to the </w:t>
      </w:r>
      <w:r w:rsidR="00E47D3B" w:rsidRPr="00793E25">
        <w:rPr>
          <w:i/>
        </w:rPr>
        <w:t xml:space="preserve">Australia New Zealand Food Standards Code </w:t>
      </w:r>
      <w:r w:rsidR="00E47D3B" w:rsidRPr="00793E25">
        <w:t>(call for submissions)</w:t>
      </w:r>
    </w:p>
    <w:p w14:paraId="178BC9C2" w14:textId="019E4A20" w:rsidR="00456BD5" w:rsidRPr="00456BD5" w:rsidRDefault="003C4969" w:rsidP="00456BD5">
      <w:pPr>
        <w:pStyle w:val="Heading2"/>
        <w:ind w:left="0" w:firstLine="0"/>
      </w:pPr>
      <w:r w:rsidRPr="00932F14">
        <w:br w:type="page"/>
      </w:r>
      <w:bookmarkStart w:id="138" w:name="_Toc29883131"/>
      <w:bookmarkStart w:id="139" w:name="_Toc41906818"/>
      <w:bookmarkStart w:id="140" w:name="_Toc41907565"/>
      <w:bookmarkStart w:id="141" w:name="_Toc120358596"/>
      <w:bookmarkStart w:id="142" w:name="_Toc175381458"/>
      <w:bookmarkStart w:id="143" w:name="_Toc11735644"/>
      <w:bookmarkStart w:id="144" w:name="_Toc485047327"/>
      <w:bookmarkStart w:id="145" w:name="_Toc487795114"/>
      <w:r w:rsidRPr="00932F14">
        <w:lastRenderedPageBreak/>
        <w:t xml:space="preserve">Attachment </w:t>
      </w:r>
      <w:bookmarkEnd w:id="138"/>
      <w:bookmarkEnd w:id="139"/>
      <w:bookmarkEnd w:id="140"/>
      <w:bookmarkEnd w:id="141"/>
      <w:bookmarkEnd w:id="142"/>
      <w:r w:rsidR="00456B54">
        <w:t>A</w:t>
      </w:r>
      <w:bookmarkStart w:id="146" w:name="_Toc120358597"/>
      <w:bookmarkStart w:id="147" w:name="_Toc175381459"/>
      <w:bookmarkEnd w:id="143"/>
      <w:r w:rsidR="00755F02">
        <w:t xml:space="preserve"> –</w:t>
      </w:r>
      <w:bookmarkStart w:id="148" w:name="_Toc120358598"/>
      <w:bookmarkStart w:id="149" w:name="_Toc175381460"/>
      <w:bookmarkEnd w:id="146"/>
      <w:bookmarkEnd w:id="14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44"/>
      <w:bookmarkEnd w:id="145"/>
      <w:r w:rsidR="00456BD5">
        <w:rPr>
          <w:i/>
        </w:rPr>
        <w:t xml:space="preserve"> </w:t>
      </w:r>
    </w:p>
    <w:p w14:paraId="0805E21E" w14:textId="0CD365EE" w:rsidR="009E31A7" w:rsidRDefault="009E31A7" w:rsidP="009E31A7">
      <w:pPr>
        <w:pBdr>
          <w:bottom w:val="single" w:sz="4" w:space="1" w:color="auto"/>
        </w:pBdr>
        <w:tabs>
          <w:tab w:val="left" w:pos="851"/>
        </w:tabs>
        <w:rPr>
          <w:b/>
          <w:bCs/>
          <w:szCs w:val="20"/>
          <w:lang w:bidi="ar-SA"/>
        </w:rPr>
      </w:pPr>
      <w:r w:rsidRPr="00CA3CAF">
        <w:rPr>
          <w:noProof/>
          <w:sz w:val="20"/>
          <w:szCs w:val="20"/>
          <w:lang w:eastAsia="en-GB" w:bidi="ar-SA"/>
        </w:rPr>
        <w:drawing>
          <wp:inline distT="0" distB="0" distL="0" distR="0" wp14:anchorId="3F216B80" wp14:editId="0025DA8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4FA10E3" w14:textId="77777777" w:rsidR="009E31A7" w:rsidRPr="009E31A7" w:rsidRDefault="009E31A7" w:rsidP="009E31A7">
      <w:pPr>
        <w:pBdr>
          <w:bottom w:val="single" w:sz="4" w:space="1" w:color="auto"/>
        </w:pBdr>
        <w:tabs>
          <w:tab w:val="left" w:pos="851"/>
        </w:tabs>
        <w:rPr>
          <w:b/>
          <w:bCs/>
          <w:szCs w:val="20"/>
          <w:lang w:bidi="ar-SA"/>
        </w:rPr>
      </w:pPr>
    </w:p>
    <w:p w14:paraId="64C0566A" w14:textId="77777777" w:rsidR="009E31A7" w:rsidRPr="009E31A7" w:rsidRDefault="009E31A7" w:rsidP="009E31A7">
      <w:pPr>
        <w:pBdr>
          <w:bottom w:val="single" w:sz="4" w:space="1" w:color="auto"/>
        </w:pBdr>
        <w:tabs>
          <w:tab w:val="left" w:pos="851"/>
        </w:tabs>
        <w:rPr>
          <w:b/>
          <w:sz w:val="20"/>
          <w:szCs w:val="20"/>
          <w:lang w:bidi="ar-SA"/>
        </w:rPr>
      </w:pPr>
      <w:r w:rsidRPr="009E31A7">
        <w:rPr>
          <w:b/>
          <w:sz w:val="20"/>
          <w:szCs w:val="20"/>
          <w:lang w:bidi="ar-SA"/>
        </w:rPr>
        <w:t>Food Standards (Application A1127 – Processing Aids in Wine) Variation</w:t>
      </w:r>
    </w:p>
    <w:p w14:paraId="41BFFF38" w14:textId="77777777" w:rsidR="009E31A7" w:rsidRPr="009E31A7" w:rsidRDefault="009E31A7" w:rsidP="009E31A7">
      <w:pPr>
        <w:pBdr>
          <w:bottom w:val="single" w:sz="4" w:space="1" w:color="auto"/>
        </w:pBdr>
        <w:tabs>
          <w:tab w:val="left" w:pos="851"/>
        </w:tabs>
        <w:rPr>
          <w:b/>
          <w:sz w:val="20"/>
          <w:szCs w:val="20"/>
          <w:lang w:bidi="ar-SA"/>
        </w:rPr>
      </w:pPr>
    </w:p>
    <w:p w14:paraId="7DAED198" w14:textId="77777777" w:rsidR="009E31A7" w:rsidRPr="009E31A7" w:rsidRDefault="009E31A7" w:rsidP="009E31A7">
      <w:pPr>
        <w:tabs>
          <w:tab w:val="left" w:pos="851"/>
        </w:tabs>
        <w:rPr>
          <w:sz w:val="20"/>
          <w:szCs w:val="20"/>
          <w:lang w:bidi="ar-SA"/>
        </w:rPr>
      </w:pPr>
    </w:p>
    <w:p w14:paraId="36ABB4A6" w14:textId="77777777" w:rsidR="009E31A7" w:rsidRPr="009E31A7" w:rsidRDefault="009E31A7" w:rsidP="009E31A7">
      <w:pPr>
        <w:tabs>
          <w:tab w:val="left" w:pos="851"/>
        </w:tabs>
        <w:rPr>
          <w:sz w:val="20"/>
          <w:szCs w:val="20"/>
          <w:lang w:bidi="ar-SA"/>
        </w:rPr>
      </w:pPr>
      <w:r w:rsidRPr="009E31A7">
        <w:rPr>
          <w:sz w:val="20"/>
          <w:szCs w:val="20"/>
          <w:lang w:bidi="ar-SA"/>
        </w:rPr>
        <w:t xml:space="preserve">The Board of Food Standards Australia New Zealand gives notice of the making of this variation under section 92 of the </w:t>
      </w:r>
      <w:r w:rsidRPr="009E31A7">
        <w:rPr>
          <w:i/>
          <w:sz w:val="20"/>
          <w:szCs w:val="20"/>
          <w:lang w:bidi="ar-SA"/>
        </w:rPr>
        <w:t>Food Standards Australia New Zealand Act 1991</w:t>
      </w:r>
      <w:r w:rsidRPr="009E31A7">
        <w:rPr>
          <w:sz w:val="20"/>
          <w:szCs w:val="20"/>
          <w:lang w:bidi="ar-SA"/>
        </w:rPr>
        <w:t>.  The variation commences on the date specified in clause 3 of this variation.</w:t>
      </w:r>
    </w:p>
    <w:p w14:paraId="743E04AA" w14:textId="77777777" w:rsidR="009E31A7" w:rsidRPr="009E31A7" w:rsidRDefault="009E31A7" w:rsidP="009E31A7">
      <w:pPr>
        <w:tabs>
          <w:tab w:val="left" w:pos="851"/>
        </w:tabs>
        <w:rPr>
          <w:sz w:val="20"/>
          <w:szCs w:val="20"/>
          <w:lang w:bidi="ar-SA"/>
        </w:rPr>
      </w:pPr>
    </w:p>
    <w:p w14:paraId="0A45EF16" w14:textId="77777777" w:rsidR="009E31A7" w:rsidRPr="009E31A7" w:rsidRDefault="009E31A7" w:rsidP="009E31A7">
      <w:pPr>
        <w:tabs>
          <w:tab w:val="left" w:pos="851"/>
        </w:tabs>
        <w:rPr>
          <w:sz w:val="20"/>
          <w:szCs w:val="20"/>
          <w:lang w:bidi="ar-SA"/>
        </w:rPr>
      </w:pPr>
      <w:r w:rsidRPr="009E31A7">
        <w:rPr>
          <w:sz w:val="20"/>
          <w:szCs w:val="20"/>
          <w:lang w:bidi="ar-SA"/>
        </w:rPr>
        <w:t>Dated [To be completed by Standards Management Officer]</w:t>
      </w:r>
    </w:p>
    <w:p w14:paraId="37F1E640" w14:textId="77777777" w:rsidR="009E31A7" w:rsidRPr="009E31A7" w:rsidRDefault="009E31A7" w:rsidP="009E31A7">
      <w:pPr>
        <w:tabs>
          <w:tab w:val="left" w:pos="851"/>
        </w:tabs>
        <w:rPr>
          <w:sz w:val="20"/>
          <w:szCs w:val="20"/>
          <w:lang w:bidi="ar-SA"/>
        </w:rPr>
      </w:pPr>
    </w:p>
    <w:p w14:paraId="561AF51F" w14:textId="77777777" w:rsidR="009E31A7" w:rsidRPr="009E31A7" w:rsidRDefault="009E31A7" w:rsidP="009E31A7">
      <w:pPr>
        <w:tabs>
          <w:tab w:val="left" w:pos="851"/>
        </w:tabs>
        <w:rPr>
          <w:sz w:val="20"/>
          <w:szCs w:val="20"/>
          <w:lang w:bidi="ar-SA"/>
        </w:rPr>
      </w:pPr>
    </w:p>
    <w:p w14:paraId="633A983A" w14:textId="77777777" w:rsidR="009E31A7" w:rsidRPr="009E31A7" w:rsidRDefault="009E31A7" w:rsidP="009E31A7">
      <w:pPr>
        <w:tabs>
          <w:tab w:val="left" w:pos="851"/>
        </w:tabs>
        <w:rPr>
          <w:sz w:val="20"/>
          <w:szCs w:val="20"/>
          <w:lang w:bidi="ar-SA"/>
        </w:rPr>
      </w:pPr>
    </w:p>
    <w:p w14:paraId="59EECD79" w14:textId="77777777" w:rsidR="009E31A7" w:rsidRPr="009E31A7" w:rsidRDefault="009E31A7" w:rsidP="009E31A7">
      <w:pPr>
        <w:tabs>
          <w:tab w:val="left" w:pos="851"/>
        </w:tabs>
        <w:rPr>
          <w:sz w:val="20"/>
          <w:szCs w:val="20"/>
          <w:lang w:bidi="ar-SA"/>
        </w:rPr>
      </w:pPr>
    </w:p>
    <w:p w14:paraId="394D8415" w14:textId="77777777" w:rsidR="009E31A7" w:rsidRPr="009E31A7" w:rsidRDefault="009E31A7" w:rsidP="009E31A7">
      <w:pPr>
        <w:tabs>
          <w:tab w:val="left" w:pos="851"/>
        </w:tabs>
        <w:rPr>
          <w:sz w:val="20"/>
          <w:szCs w:val="20"/>
          <w:lang w:bidi="ar-SA"/>
        </w:rPr>
      </w:pPr>
    </w:p>
    <w:p w14:paraId="6DD0ED65" w14:textId="77777777" w:rsidR="009E31A7" w:rsidRPr="009E31A7" w:rsidRDefault="009E31A7" w:rsidP="009E31A7">
      <w:pPr>
        <w:tabs>
          <w:tab w:val="left" w:pos="851"/>
        </w:tabs>
        <w:rPr>
          <w:sz w:val="20"/>
          <w:szCs w:val="20"/>
          <w:lang w:bidi="ar-SA"/>
        </w:rPr>
      </w:pPr>
      <w:r w:rsidRPr="009E31A7">
        <w:rPr>
          <w:sz w:val="20"/>
          <w:szCs w:val="20"/>
          <w:lang w:bidi="ar-SA"/>
        </w:rPr>
        <w:t>Standards Management Officer</w:t>
      </w:r>
    </w:p>
    <w:p w14:paraId="03303EBF" w14:textId="77777777" w:rsidR="009E31A7" w:rsidRPr="009E31A7" w:rsidRDefault="009E31A7" w:rsidP="009E31A7">
      <w:pPr>
        <w:tabs>
          <w:tab w:val="left" w:pos="851"/>
        </w:tabs>
        <w:rPr>
          <w:sz w:val="20"/>
          <w:szCs w:val="20"/>
          <w:lang w:bidi="ar-SA"/>
        </w:rPr>
      </w:pPr>
      <w:r w:rsidRPr="009E31A7">
        <w:rPr>
          <w:sz w:val="20"/>
          <w:szCs w:val="20"/>
          <w:lang w:bidi="ar-SA"/>
        </w:rPr>
        <w:t>Delegate of the Board of Food Standards Australia New Zealand</w:t>
      </w:r>
    </w:p>
    <w:p w14:paraId="6CE3CD05" w14:textId="77777777" w:rsidR="009E31A7" w:rsidRPr="009E31A7" w:rsidRDefault="009E31A7" w:rsidP="009E31A7">
      <w:pPr>
        <w:tabs>
          <w:tab w:val="left" w:pos="851"/>
        </w:tabs>
        <w:rPr>
          <w:sz w:val="20"/>
          <w:szCs w:val="20"/>
          <w:lang w:bidi="ar-SA"/>
        </w:rPr>
      </w:pPr>
    </w:p>
    <w:p w14:paraId="7A3D3C64" w14:textId="77777777" w:rsidR="009E31A7" w:rsidRPr="009E31A7" w:rsidRDefault="009E31A7" w:rsidP="009E31A7">
      <w:pPr>
        <w:tabs>
          <w:tab w:val="left" w:pos="851"/>
        </w:tabs>
        <w:rPr>
          <w:sz w:val="20"/>
          <w:szCs w:val="20"/>
          <w:lang w:bidi="ar-SA"/>
        </w:rPr>
      </w:pPr>
    </w:p>
    <w:p w14:paraId="1A42B7C0" w14:textId="77777777" w:rsidR="009E31A7" w:rsidRPr="009E31A7" w:rsidRDefault="009E31A7" w:rsidP="009E31A7">
      <w:pPr>
        <w:tabs>
          <w:tab w:val="left" w:pos="851"/>
        </w:tabs>
        <w:rPr>
          <w:sz w:val="20"/>
          <w:szCs w:val="20"/>
          <w:lang w:bidi="ar-SA"/>
        </w:rPr>
      </w:pPr>
    </w:p>
    <w:p w14:paraId="0C8FF820" w14:textId="77777777" w:rsidR="009E31A7" w:rsidRPr="009E31A7" w:rsidRDefault="009E31A7" w:rsidP="009E31A7">
      <w:pPr>
        <w:tabs>
          <w:tab w:val="left" w:pos="851"/>
        </w:tabs>
        <w:rPr>
          <w:sz w:val="20"/>
          <w:szCs w:val="20"/>
          <w:lang w:bidi="ar-SA"/>
        </w:rPr>
      </w:pPr>
    </w:p>
    <w:p w14:paraId="0A2EA005" w14:textId="77777777" w:rsidR="009E31A7" w:rsidRPr="009E31A7" w:rsidRDefault="009E31A7" w:rsidP="009E31A7">
      <w:pPr>
        <w:tabs>
          <w:tab w:val="left" w:pos="851"/>
        </w:tabs>
        <w:rPr>
          <w:sz w:val="20"/>
          <w:szCs w:val="20"/>
          <w:lang w:bidi="ar-SA"/>
        </w:rPr>
      </w:pPr>
    </w:p>
    <w:p w14:paraId="39BDA2BA" w14:textId="55720155" w:rsidR="009E31A7" w:rsidRPr="009E31A7" w:rsidRDefault="009E31A7" w:rsidP="009E31A7">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9E31A7">
        <w:rPr>
          <w:b/>
          <w:sz w:val="20"/>
          <w:szCs w:val="20"/>
          <w:lang w:val="en-AU" w:bidi="ar-SA"/>
        </w:rPr>
        <w:t>Note:</w:t>
      </w:r>
    </w:p>
    <w:p w14:paraId="3B189B47" w14:textId="77777777" w:rsidR="009E31A7" w:rsidRPr="009E31A7" w:rsidRDefault="009E31A7" w:rsidP="009E31A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A09C73D" w14:textId="77777777" w:rsidR="009E31A7" w:rsidRPr="009E31A7" w:rsidRDefault="009E31A7" w:rsidP="009E31A7">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9E31A7">
        <w:rPr>
          <w:sz w:val="20"/>
          <w:szCs w:val="20"/>
          <w:lang w:val="en-AU" w:bidi="ar-SA"/>
        </w:rPr>
        <w:t xml:space="preserve">This variation will be published in the Commonwealth of Australia Gazette No. </w:t>
      </w:r>
      <w:proofErr w:type="gramStart"/>
      <w:r w:rsidRPr="009E31A7">
        <w:rPr>
          <w:sz w:val="20"/>
          <w:szCs w:val="20"/>
          <w:lang w:val="en-AU" w:bidi="ar-SA"/>
        </w:rPr>
        <w:t xml:space="preserve">FSC </w:t>
      </w:r>
      <w:r w:rsidRPr="009E31A7">
        <w:rPr>
          <w:color w:val="FF0000"/>
          <w:sz w:val="20"/>
          <w:szCs w:val="20"/>
          <w:lang w:val="en-AU" w:bidi="ar-SA"/>
        </w:rPr>
        <w:t>XX on XX Month 20XX</w:t>
      </w:r>
      <w:r w:rsidRPr="009E31A7">
        <w:rPr>
          <w:sz w:val="20"/>
          <w:szCs w:val="20"/>
          <w:lang w:val="en-AU" w:bidi="ar-SA"/>
        </w:rPr>
        <w:t>.</w:t>
      </w:r>
      <w:proofErr w:type="gramEnd"/>
      <w:r w:rsidRPr="009E31A7">
        <w:rPr>
          <w:sz w:val="20"/>
          <w:szCs w:val="20"/>
          <w:lang w:val="en-AU" w:bidi="ar-SA"/>
        </w:rPr>
        <w:t xml:space="preserve"> This means that this date is the gazettal date for the purposes of clause 3 of the variation. </w:t>
      </w:r>
    </w:p>
    <w:p w14:paraId="242D3DD6" w14:textId="77777777" w:rsidR="009E31A7" w:rsidRPr="009E31A7" w:rsidRDefault="009E31A7" w:rsidP="009E31A7">
      <w:pPr>
        <w:tabs>
          <w:tab w:val="left" w:pos="851"/>
        </w:tabs>
        <w:rPr>
          <w:sz w:val="20"/>
          <w:szCs w:val="20"/>
          <w:lang w:bidi="ar-SA"/>
        </w:rPr>
      </w:pPr>
    </w:p>
    <w:p w14:paraId="76AA09F0" w14:textId="77777777" w:rsidR="009E31A7" w:rsidRPr="009E31A7" w:rsidRDefault="009E31A7" w:rsidP="009E31A7">
      <w:pPr>
        <w:widowControl/>
        <w:rPr>
          <w:sz w:val="20"/>
          <w:szCs w:val="20"/>
          <w:lang w:bidi="ar-SA"/>
        </w:rPr>
      </w:pPr>
      <w:r w:rsidRPr="009E31A7">
        <w:rPr>
          <w:sz w:val="20"/>
          <w:szCs w:val="20"/>
          <w:lang w:bidi="ar-SA"/>
        </w:rPr>
        <w:br w:type="page"/>
      </w:r>
    </w:p>
    <w:p w14:paraId="744C3C2A" w14:textId="77777777" w:rsidR="009E31A7" w:rsidRPr="009E31A7" w:rsidRDefault="009E31A7" w:rsidP="009E31A7">
      <w:pPr>
        <w:spacing w:before="120" w:after="120"/>
        <w:ind w:left="851" w:hanging="851"/>
        <w:rPr>
          <w:b/>
          <w:sz w:val="20"/>
          <w:szCs w:val="20"/>
          <w:lang w:bidi="ar-SA"/>
        </w:rPr>
      </w:pPr>
      <w:r w:rsidRPr="009E31A7">
        <w:rPr>
          <w:b/>
          <w:sz w:val="20"/>
          <w:szCs w:val="20"/>
          <w:lang w:bidi="ar-SA"/>
        </w:rPr>
        <w:lastRenderedPageBreak/>
        <w:t>1</w:t>
      </w:r>
      <w:r w:rsidRPr="009E31A7">
        <w:rPr>
          <w:b/>
          <w:sz w:val="20"/>
          <w:szCs w:val="20"/>
          <w:lang w:bidi="ar-SA"/>
        </w:rPr>
        <w:tab/>
        <w:t>Name</w:t>
      </w:r>
    </w:p>
    <w:p w14:paraId="2BACFA64" w14:textId="77777777" w:rsidR="009E31A7" w:rsidRPr="009E31A7" w:rsidRDefault="009E31A7" w:rsidP="009E31A7">
      <w:pPr>
        <w:widowControl/>
        <w:tabs>
          <w:tab w:val="left" w:pos="851"/>
        </w:tabs>
        <w:spacing w:before="120" w:after="120"/>
        <w:rPr>
          <w:sz w:val="20"/>
          <w:szCs w:val="20"/>
          <w:lang w:bidi="ar-SA"/>
        </w:rPr>
      </w:pPr>
      <w:r w:rsidRPr="009E31A7">
        <w:rPr>
          <w:sz w:val="20"/>
          <w:szCs w:val="20"/>
          <w:lang w:bidi="ar-SA"/>
        </w:rPr>
        <w:t xml:space="preserve">This instrument is the </w:t>
      </w:r>
      <w:r w:rsidRPr="009E31A7">
        <w:rPr>
          <w:i/>
          <w:sz w:val="20"/>
          <w:szCs w:val="20"/>
          <w:lang w:bidi="ar-SA"/>
        </w:rPr>
        <w:t>Food Standards (Application A1127 –</w:t>
      </w:r>
      <w:r w:rsidRPr="009E31A7">
        <w:rPr>
          <w:b/>
          <w:sz w:val="20"/>
          <w:szCs w:val="20"/>
          <w:lang w:bidi="ar-SA"/>
        </w:rPr>
        <w:t xml:space="preserve"> </w:t>
      </w:r>
      <w:r w:rsidRPr="009E31A7">
        <w:rPr>
          <w:i/>
          <w:sz w:val="20"/>
          <w:szCs w:val="20"/>
          <w:lang w:bidi="ar-SA"/>
        </w:rPr>
        <w:t>Processing Aids in Wine) Variation</w:t>
      </w:r>
      <w:r w:rsidRPr="009E31A7">
        <w:rPr>
          <w:sz w:val="20"/>
          <w:szCs w:val="20"/>
          <w:lang w:bidi="ar-SA"/>
        </w:rPr>
        <w:t>.</w:t>
      </w:r>
    </w:p>
    <w:p w14:paraId="260E8DCB" w14:textId="77777777" w:rsidR="009E31A7" w:rsidRPr="009E31A7" w:rsidRDefault="009E31A7" w:rsidP="009E31A7">
      <w:pPr>
        <w:spacing w:before="120" w:after="120"/>
        <w:ind w:left="851" w:hanging="851"/>
        <w:rPr>
          <w:b/>
          <w:sz w:val="20"/>
          <w:szCs w:val="20"/>
          <w:lang w:bidi="ar-SA"/>
        </w:rPr>
      </w:pPr>
      <w:r w:rsidRPr="009E31A7">
        <w:rPr>
          <w:b/>
          <w:sz w:val="20"/>
          <w:szCs w:val="20"/>
          <w:lang w:bidi="ar-SA"/>
        </w:rPr>
        <w:t>2</w:t>
      </w:r>
      <w:r w:rsidRPr="009E31A7">
        <w:rPr>
          <w:b/>
          <w:sz w:val="20"/>
          <w:szCs w:val="20"/>
          <w:lang w:bidi="ar-SA"/>
        </w:rPr>
        <w:tab/>
        <w:t xml:space="preserve">Variation to standards in the </w:t>
      </w:r>
      <w:r w:rsidRPr="009E31A7">
        <w:rPr>
          <w:b/>
          <w:i/>
          <w:sz w:val="20"/>
          <w:szCs w:val="20"/>
          <w:lang w:bidi="ar-SA"/>
        </w:rPr>
        <w:t>Australia New Zealand Food Standards Code</w:t>
      </w:r>
    </w:p>
    <w:p w14:paraId="176278D2" w14:textId="77777777" w:rsidR="009E31A7" w:rsidRPr="009E31A7" w:rsidRDefault="009E31A7" w:rsidP="009E31A7">
      <w:pPr>
        <w:widowControl/>
        <w:tabs>
          <w:tab w:val="left" w:pos="851"/>
        </w:tabs>
        <w:spacing w:before="120" w:after="120"/>
        <w:rPr>
          <w:sz w:val="20"/>
          <w:szCs w:val="20"/>
          <w:lang w:bidi="ar-SA"/>
        </w:rPr>
      </w:pPr>
      <w:r w:rsidRPr="009E31A7">
        <w:rPr>
          <w:sz w:val="20"/>
          <w:szCs w:val="20"/>
          <w:lang w:bidi="ar-SA"/>
        </w:rPr>
        <w:t xml:space="preserve">The Schedule varies Standards in the </w:t>
      </w:r>
      <w:r w:rsidRPr="009E31A7">
        <w:rPr>
          <w:i/>
          <w:sz w:val="20"/>
          <w:szCs w:val="20"/>
          <w:lang w:bidi="ar-SA"/>
        </w:rPr>
        <w:t>Australia New Zealand Food Standards Code</w:t>
      </w:r>
      <w:r w:rsidRPr="009E31A7">
        <w:rPr>
          <w:sz w:val="20"/>
          <w:szCs w:val="20"/>
          <w:lang w:bidi="ar-SA"/>
        </w:rPr>
        <w:t>.</w:t>
      </w:r>
    </w:p>
    <w:p w14:paraId="37C1BC1F" w14:textId="77777777" w:rsidR="009E31A7" w:rsidRPr="009E31A7" w:rsidRDefault="009E31A7" w:rsidP="009E31A7">
      <w:pPr>
        <w:spacing w:before="120" w:after="120"/>
        <w:ind w:left="851" w:hanging="851"/>
        <w:rPr>
          <w:b/>
          <w:sz w:val="20"/>
          <w:szCs w:val="20"/>
          <w:lang w:bidi="ar-SA"/>
        </w:rPr>
      </w:pPr>
      <w:r w:rsidRPr="009E31A7">
        <w:rPr>
          <w:b/>
          <w:sz w:val="20"/>
          <w:szCs w:val="20"/>
          <w:lang w:bidi="ar-SA"/>
        </w:rPr>
        <w:t>3</w:t>
      </w:r>
      <w:r w:rsidRPr="009E31A7">
        <w:rPr>
          <w:b/>
          <w:sz w:val="20"/>
          <w:szCs w:val="20"/>
          <w:lang w:bidi="ar-SA"/>
        </w:rPr>
        <w:tab/>
        <w:t>Commencement</w:t>
      </w:r>
    </w:p>
    <w:p w14:paraId="1E5AD512" w14:textId="77777777" w:rsidR="009E31A7" w:rsidRPr="009E31A7" w:rsidRDefault="009E31A7" w:rsidP="009E31A7">
      <w:pPr>
        <w:widowControl/>
        <w:tabs>
          <w:tab w:val="left" w:pos="851"/>
        </w:tabs>
        <w:spacing w:before="120" w:after="120"/>
        <w:rPr>
          <w:sz w:val="20"/>
          <w:szCs w:val="20"/>
          <w:lang w:bidi="ar-SA"/>
        </w:rPr>
      </w:pPr>
      <w:r w:rsidRPr="009E31A7">
        <w:rPr>
          <w:sz w:val="20"/>
          <w:szCs w:val="20"/>
          <w:lang w:bidi="ar-SA"/>
        </w:rPr>
        <w:t>The variation commences on the date of gazettal.</w:t>
      </w:r>
    </w:p>
    <w:p w14:paraId="1DACC4EB" w14:textId="77777777" w:rsidR="009E31A7" w:rsidRPr="009E31A7" w:rsidRDefault="009E31A7" w:rsidP="009E31A7">
      <w:pPr>
        <w:tabs>
          <w:tab w:val="left" w:pos="851"/>
        </w:tabs>
        <w:jc w:val="center"/>
        <w:rPr>
          <w:b/>
          <w:sz w:val="20"/>
          <w:szCs w:val="20"/>
          <w:lang w:bidi="ar-SA"/>
        </w:rPr>
      </w:pPr>
      <w:r w:rsidRPr="009E31A7">
        <w:rPr>
          <w:b/>
          <w:sz w:val="20"/>
          <w:szCs w:val="20"/>
          <w:lang w:bidi="ar-SA"/>
        </w:rPr>
        <w:t>Schedule</w:t>
      </w:r>
    </w:p>
    <w:p w14:paraId="080B39C0" w14:textId="77777777" w:rsidR="009E31A7" w:rsidRPr="009E31A7" w:rsidRDefault="009E31A7" w:rsidP="009E31A7">
      <w:pPr>
        <w:tabs>
          <w:tab w:val="left" w:pos="851"/>
        </w:tabs>
        <w:spacing w:before="120" w:after="120"/>
        <w:rPr>
          <w:sz w:val="20"/>
          <w:szCs w:val="20"/>
          <w:lang w:bidi="ar-SA"/>
        </w:rPr>
      </w:pPr>
      <w:r w:rsidRPr="009E31A7">
        <w:rPr>
          <w:b/>
          <w:sz w:val="20"/>
          <w:szCs w:val="20"/>
        </w:rPr>
        <w:t>[</w:t>
      </w:r>
      <w:r w:rsidRPr="009E31A7">
        <w:rPr>
          <w:b/>
          <w:sz w:val="20"/>
          <w:szCs w:val="20"/>
          <w:lang w:bidi="ar-SA"/>
        </w:rPr>
        <w:t>[1]</w:t>
      </w:r>
      <w:r w:rsidRPr="009E31A7">
        <w:rPr>
          <w:b/>
          <w:sz w:val="20"/>
          <w:szCs w:val="20"/>
          <w:lang w:bidi="ar-SA"/>
        </w:rPr>
        <w:tab/>
        <w:t xml:space="preserve">Standard 4.5.1 </w:t>
      </w:r>
      <w:r w:rsidRPr="009E31A7">
        <w:rPr>
          <w:sz w:val="20"/>
          <w:szCs w:val="20"/>
          <w:lang w:bidi="ar-SA"/>
        </w:rPr>
        <w:t>is varied by inserting each of the following into the Table to clause 4, in alphabetical order</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ssing aids to be listed into the Table to clause 4, in alphabetical order"/>
      </w:tblPr>
      <w:tblGrid>
        <w:gridCol w:w="5102"/>
      </w:tblGrid>
      <w:tr w:rsidR="009E31A7" w:rsidRPr="009E31A7" w14:paraId="41FB7900" w14:textId="77777777" w:rsidTr="000E30B3">
        <w:trPr>
          <w:trHeight w:val="238"/>
          <w:tblHeader/>
          <w:jc w:val="center"/>
        </w:trPr>
        <w:tc>
          <w:tcPr>
            <w:tcW w:w="5102" w:type="dxa"/>
          </w:tcPr>
          <w:p w14:paraId="31B32E14" w14:textId="77777777" w:rsidR="009E31A7" w:rsidRPr="009E31A7" w:rsidRDefault="009E31A7" w:rsidP="00596289">
            <w:pPr>
              <w:pStyle w:val="Table2"/>
              <w:rPr>
                <w:lang w:bidi="ar-SA"/>
              </w:rPr>
            </w:pPr>
            <w:r w:rsidRPr="009E31A7">
              <w:rPr>
                <w:lang w:bidi="ar-SA"/>
              </w:rPr>
              <w:t>Ammonium bisulphite</w:t>
            </w:r>
          </w:p>
        </w:tc>
      </w:tr>
      <w:tr w:rsidR="009E31A7" w:rsidRPr="009E31A7" w14:paraId="15FFD255" w14:textId="77777777" w:rsidTr="000E30B3">
        <w:trPr>
          <w:tblHeader/>
          <w:jc w:val="center"/>
        </w:trPr>
        <w:tc>
          <w:tcPr>
            <w:tcW w:w="5102" w:type="dxa"/>
          </w:tcPr>
          <w:p w14:paraId="675DD6A1" w14:textId="77777777" w:rsidR="009E31A7" w:rsidRPr="009E31A7" w:rsidRDefault="009E31A7" w:rsidP="00596289">
            <w:pPr>
              <w:pStyle w:val="Table2"/>
              <w:rPr>
                <w:lang w:bidi="ar-SA"/>
              </w:rPr>
            </w:pPr>
            <w:r w:rsidRPr="009E31A7">
              <w:rPr>
                <w:lang w:bidi="ar-SA"/>
              </w:rPr>
              <w:t>Chitin-glucan</w:t>
            </w:r>
          </w:p>
        </w:tc>
      </w:tr>
      <w:tr w:rsidR="009E31A7" w:rsidRPr="009E31A7" w14:paraId="0ACFD2E4" w14:textId="77777777" w:rsidTr="000E30B3">
        <w:trPr>
          <w:tblHeader/>
          <w:jc w:val="center"/>
        </w:trPr>
        <w:tc>
          <w:tcPr>
            <w:tcW w:w="5102" w:type="dxa"/>
          </w:tcPr>
          <w:p w14:paraId="1234B351" w14:textId="77777777" w:rsidR="009E31A7" w:rsidRPr="009E31A7" w:rsidRDefault="009E31A7" w:rsidP="00596289">
            <w:pPr>
              <w:pStyle w:val="Table2"/>
              <w:rPr>
                <w:lang w:bidi="ar-SA"/>
              </w:rPr>
            </w:pPr>
            <w:r w:rsidRPr="009E31A7">
              <w:rPr>
                <w:lang w:bidi="ar-SA"/>
              </w:rPr>
              <w:t>Polyvinylimidazole-polyvinylpyrrolidone co-polymers</w:t>
            </w:r>
          </w:p>
        </w:tc>
      </w:tr>
    </w:tbl>
    <w:p w14:paraId="61DA2B99" w14:textId="77777777" w:rsidR="009E31A7" w:rsidRPr="009E31A7" w:rsidRDefault="009E31A7" w:rsidP="009E31A7">
      <w:pPr>
        <w:widowControl/>
        <w:tabs>
          <w:tab w:val="left" w:pos="851"/>
        </w:tabs>
        <w:spacing w:before="120" w:after="120"/>
        <w:rPr>
          <w:sz w:val="20"/>
          <w:szCs w:val="20"/>
          <w:lang w:bidi="ar-SA"/>
        </w:rPr>
      </w:pPr>
      <w:r w:rsidRPr="009E31A7">
        <w:rPr>
          <w:b/>
          <w:sz w:val="20"/>
          <w:szCs w:val="20"/>
          <w:lang w:bidi="ar-SA"/>
        </w:rPr>
        <w:t>[2]</w:t>
      </w:r>
      <w:r w:rsidRPr="009E31A7">
        <w:rPr>
          <w:b/>
          <w:sz w:val="20"/>
          <w:szCs w:val="20"/>
          <w:lang w:bidi="ar-SA"/>
        </w:rPr>
        <w:tab/>
        <w:t>Schedule S18</w:t>
      </w:r>
      <w:r w:rsidRPr="009E31A7">
        <w:rPr>
          <w:sz w:val="20"/>
          <w:szCs w:val="20"/>
          <w:lang w:bidi="ar-SA"/>
        </w:rPr>
        <w:t xml:space="preserve"> is varied by inserting each of the following into the table to subsection S18—9(3),</w:t>
      </w:r>
      <w:r w:rsidRPr="009E31A7">
        <w:rPr>
          <w:b/>
          <w:sz w:val="20"/>
          <w:szCs w:val="20"/>
          <w:lang w:bidi="ar-SA"/>
        </w:rPr>
        <w:t xml:space="preserve"> </w:t>
      </w:r>
      <w:r w:rsidRPr="009E31A7">
        <w:rPr>
          <w:sz w:val="20"/>
          <w:szCs w:val="20"/>
          <w:lang w:bidi="ar-SA"/>
        </w:rPr>
        <w:t>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cessing aids to be listed into the table to subsection S18—9(3), in alphabetical order"/>
      </w:tblPr>
      <w:tblGrid>
        <w:gridCol w:w="3120"/>
        <w:gridCol w:w="3603"/>
        <w:gridCol w:w="2349"/>
      </w:tblGrid>
      <w:tr w:rsidR="009E31A7" w:rsidRPr="009E31A7" w14:paraId="6E0B9C9C" w14:textId="77777777" w:rsidTr="000E30B3">
        <w:trPr>
          <w:tblHeader/>
          <w:jc w:val="center"/>
        </w:trPr>
        <w:tc>
          <w:tcPr>
            <w:tcW w:w="3120" w:type="dxa"/>
          </w:tcPr>
          <w:p w14:paraId="09C78452" w14:textId="77777777" w:rsidR="009E31A7" w:rsidRPr="009E31A7" w:rsidRDefault="009E31A7" w:rsidP="00596289">
            <w:pPr>
              <w:pStyle w:val="FSCtblMain"/>
            </w:pPr>
            <w:r w:rsidRPr="009E31A7">
              <w:t>Ammonium bisulphite</w:t>
            </w:r>
          </w:p>
        </w:tc>
        <w:tc>
          <w:tcPr>
            <w:tcW w:w="3603" w:type="dxa"/>
          </w:tcPr>
          <w:p w14:paraId="462BFB4E" w14:textId="0CA86CB3" w:rsidR="009E31A7" w:rsidRPr="009E31A7" w:rsidRDefault="009E31A7" w:rsidP="00596289">
            <w:pPr>
              <w:pStyle w:val="FSCtblMain"/>
            </w:pPr>
            <w:r w:rsidRPr="009E31A7">
              <w:t>For use in the manufacture of wine, sparkling wine and fortified wine as a microbial nutrient and microbial nutrient adjunct.</w:t>
            </w:r>
          </w:p>
        </w:tc>
        <w:tc>
          <w:tcPr>
            <w:tcW w:w="2349" w:type="dxa"/>
          </w:tcPr>
          <w:p w14:paraId="2054BE0C" w14:textId="77777777" w:rsidR="009E31A7" w:rsidRPr="009E31A7" w:rsidRDefault="009E31A7" w:rsidP="00596289">
            <w:pPr>
              <w:pStyle w:val="FSCtblMain"/>
            </w:pPr>
            <w:r w:rsidRPr="009E31A7">
              <w:t>GMP</w:t>
            </w:r>
          </w:p>
        </w:tc>
      </w:tr>
      <w:tr w:rsidR="009E31A7" w:rsidRPr="009E31A7" w14:paraId="0BE2405E" w14:textId="77777777" w:rsidTr="000E30B3">
        <w:trPr>
          <w:tblHeader/>
          <w:jc w:val="center"/>
        </w:trPr>
        <w:tc>
          <w:tcPr>
            <w:tcW w:w="3120" w:type="dxa"/>
          </w:tcPr>
          <w:p w14:paraId="4E840D19" w14:textId="77777777" w:rsidR="009E31A7" w:rsidRPr="009E31A7" w:rsidRDefault="009E31A7" w:rsidP="00596289">
            <w:pPr>
              <w:pStyle w:val="FSCtblMain"/>
            </w:pPr>
            <w:r w:rsidRPr="009E31A7">
              <w:t>Chitin-glucan</w:t>
            </w:r>
          </w:p>
        </w:tc>
        <w:tc>
          <w:tcPr>
            <w:tcW w:w="3603" w:type="dxa"/>
          </w:tcPr>
          <w:p w14:paraId="3AF75ECF" w14:textId="345EC294" w:rsidR="009E31A7" w:rsidRPr="009E31A7" w:rsidRDefault="009E31A7" w:rsidP="00596289">
            <w:pPr>
              <w:pStyle w:val="FSCtblMain"/>
            </w:pPr>
            <w:r w:rsidRPr="009E31A7">
              <w:t>For use in the manufacture of wine, sparkling wine and fortified wine as a decolourant, clarifying, filtration and absorbent agent.</w:t>
            </w:r>
          </w:p>
        </w:tc>
        <w:tc>
          <w:tcPr>
            <w:tcW w:w="2349" w:type="dxa"/>
          </w:tcPr>
          <w:p w14:paraId="3EFD062A" w14:textId="77777777" w:rsidR="009E31A7" w:rsidRPr="009E31A7" w:rsidRDefault="009E31A7" w:rsidP="00596289">
            <w:pPr>
              <w:pStyle w:val="FSCtblMain"/>
            </w:pPr>
            <w:r w:rsidRPr="009E31A7">
              <w:t>GMP</w:t>
            </w:r>
          </w:p>
        </w:tc>
      </w:tr>
      <w:tr w:rsidR="009E31A7" w:rsidRPr="009E31A7" w14:paraId="3216F9DD" w14:textId="77777777" w:rsidTr="000E30B3">
        <w:trPr>
          <w:tblHeader/>
          <w:jc w:val="center"/>
        </w:trPr>
        <w:tc>
          <w:tcPr>
            <w:tcW w:w="3120" w:type="dxa"/>
          </w:tcPr>
          <w:p w14:paraId="01CC1817" w14:textId="77777777" w:rsidR="009E31A7" w:rsidRPr="009E31A7" w:rsidRDefault="009E31A7" w:rsidP="00596289">
            <w:pPr>
              <w:pStyle w:val="FSCtblMain"/>
            </w:pPr>
            <w:r w:rsidRPr="009E31A7">
              <w:t>Polyvinylimidazole-polyvinylpyrrolidone co-polymers</w:t>
            </w:r>
          </w:p>
        </w:tc>
        <w:tc>
          <w:tcPr>
            <w:tcW w:w="3603" w:type="dxa"/>
          </w:tcPr>
          <w:p w14:paraId="0DC4D7D7" w14:textId="325B8068" w:rsidR="009E31A7" w:rsidRPr="009E31A7" w:rsidRDefault="009E31A7" w:rsidP="00596289">
            <w:pPr>
              <w:pStyle w:val="FSCtblMain"/>
            </w:pPr>
            <w:r w:rsidRPr="009E31A7">
              <w:t>For use in the manufacture of wine, sparkling wine and fortified wine as a decolourant, clarifying, filtration and absorbent agent.</w:t>
            </w:r>
          </w:p>
        </w:tc>
        <w:tc>
          <w:tcPr>
            <w:tcW w:w="2349" w:type="dxa"/>
          </w:tcPr>
          <w:p w14:paraId="53991066" w14:textId="77777777" w:rsidR="009E31A7" w:rsidRPr="009E31A7" w:rsidRDefault="009E31A7" w:rsidP="00596289">
            <w:pPr>
              <w:pStyle w:val="FSCtblMain"/>
            </w:pPr>
            <w:r w:rsidRPr="009E31A7">
              <w:t>GMP</w:t>
            </w:r>
          </w:p>
        </w:tc>
      </w:tr>
      <w:tr w:rsidR="009E31A7" w:rsidRPr="009E31A7" w14:paraId="7058FBF8" w14:textId="77777777" w:rsidTr="000E30B3">
        <w:trPr>
          <w:tblHeader/>
          <w:jc w:val="center"/>
        </w:trPr>
        <w:tc>
          <w:tcPr>
            <w:tcW w:w="3120" w:type="dxa"/>
          </w:tcPr>
          <w:p w14:paraId="367C60D6" w14:textId="15CD5276" w:rsidR="009E31A7" w:rsidRPr="009E31A7" w:rsidRDefault="009E31A7" w:rsidP="00596289">
            <w:pPr>
              <w:pStyle w:val="FSCtblMain"/>
            </w:pPr>
            <w:r w:rsidRPr="009E31A7">
              <w:t>Silver chloride</w:t>
            </w:r>
          </w:p>
        </w:tc>
        <w:tc>
          <w:tcPr>
            <w:tcW w:w="3603" w:type="dxa"/>
          </w:tcPr>
          <w:p w14:paraId="5C9BCB81" w14:textId="7B59EB0C" w:rsidR="009E31A7" w:rsidRPr="009E31A7" w:rsidRDefault="009E31A7" w:rsidP="00596289">
            <w:pPr>
              <w:pStyle w:val="FSCtblMain"/>
            </w:pPr>
            <w:r w:rsidRPr="009E31A7">
              <w:t>For use in the manufacture of wine, sparkling wine and fortified wine to remove fermentation and storage-related odours.</w:t>
            </w:r>
          </w:p>
        </w:tc>
        <w:tc>
          <w:tcPr>
            <w:tcW w:w="2349" w:type="dxa"/>
          </w:tcPr>
          <w:p w14:paraId="5FDB04EE" w14:textId="4286784C" w:rsidR="009E31A7" w:rsidRPr="009E31A7" w:rsidRDefault="009E31A7" w:rsidP="00596289">
            <w:pPr>
              <w:pStyle w:val="FSCtblMain"/>
            </w:pPr>
            <w:r w:rsidRPr="009E31A7">
              <w:t>GMP</w:t>
            </w:r>
          </w:p>
        </w:tc>
      </w:tr>
    </w:tbl>
    <w:p w14:paraId="20C74D4F" w14:textId="77777777" w:rsidR="009E31A7" w:rsidRPr="00F64FF2" w:rsidRDefault="009E31A7" w:rsidP="009E31A7">
      <w:pPr>
        <w:widowControl/>
        <w:tabs>
          <w:tab w:val="left" w:pos="851"/>
        </w:tabs>
        <w:spacing w:before="120" w:after="120"/>
        <w:rPr>
          <w:sz w:val="20"/>
          <w:szCs w:val="20"/>
          <w:lang w:bidi="ar-SA"/>
        </w:rPr>
      </w:pPr>
    </w:p>
    <w:p w14:paraId="263886FE" w14:textId="4ADC717E" w:rsidR="00CA3CAF" w:rsidRPr="00932F14" w:rsidRDefault="00456BD5" w:rsidP="00CA3CAF">
      <w:pPr>
        <w:pStyle w:val="Heading2"/>
      </w:pPr>
      <w:r w:rsidRPr="00932F14">
        <w:br w:type="page"/>
      </w:r>
      <w:bookmarkStart w:id="150" w:name="_Toc477421854"/>
      <w:bookmarkStart w:id="151" w:name="_Toc478021539"/>
    </w:p>
    <w:p w14:paraId="62861973" w14:textId="5E6C3CE3" w:rsidR="00C6368C" w:rsidRDefault="00CA3CAF" w:rsidP="000E30B3">
      <w:pPr>
        <w:pStyle w:val="Heading2"/>
        <w:ind w:left="0" w:firstLine="0"/>
      </w:pPr>
      <w:bookmarkStart w:id="152" w:name="_Toc487795115"/>
      <w:bookmarkStart w:id="153" w:name="_Toc485047328"/>
      <w:r w:rsidRPr="00932F14">
        <w:lastRenderedPageBreak/>
        <w:t xml:space="preserve">Attachment </w:t>
      </w:r>
      <w:r>
        <w:t>B</w:t>
      </w:r>
      <w:bookmarkEnd w:id="152"/>
    </w:p>
    <w:p w14:paraId="19461870" w14:textId="06A99927" w:rsidR="00CA3CAF" w:rsidRDefault="00CA3CAF" w:rsidP="00C6368C">
      <w:pPr>
        <w:rPr>
          <w:rFonts w:eastAsia="Calibri"/>
          <w:b/>
          <w:sz w:val="28"/>
          <w:szCs w:val="28"/>
          <w:lang w:val="en-AU"/>
        </w:rPr>
      </w:pPr>
      <w:r w:rsidRPr="00C6368C">
        <w:rPr>
          <w:rFonts w:eastAsia="Calibri"/>
          <w:b/>
          <w:sz w:val="28"/>
          <w:szCs w:val="28"/>
          <w:lang w:val="en-AU"/>
        </w:rPr>
        <w:t>Draft Explanatory Statement</w:t>
      </w:r>
      <w:bookmarkEnd w:id="150"/>
      <w:bookmarkEnd w:id="151"/>
      <w:bookmarkEnd w:id="153"/>
    </w:p>
    <w:p w14:paraId="33651A5A" w14:textId="77777777" w:rsidR="00C6368C" w:rsidRPr="00C6368C" w:rsidRDefault="00C6368C" w:rsidP="00C6368C">
      <w:pPr>
        <w:rPr>
          <w:rFonts w:eastAsia="Calibri"/>
          <w:szCs w:val="22"/>
          <w:lang w:val="en-AU"/>
        </w:rPr>
      </w:pPr>
    </w:p>
    <w:p w14:paraId="312437C3" w14:textId="77777777" w:rsidR="00CA3CAF" w:rsidRPr="000576EB" w:rsidRDefault="00CA3CAF" w:rsidP="00CA3CAF">
      <w:pPr>
        <w:rPr>
          <w:b/>
          <w:lang w:val="en-AU" w:eastAsia="en-GB" w:bidi="ar-SA"/>
        </w:rPr>
      </w:pPr>
      <w:r w:rsidRPr="000576EB">
        <w:rPr>
          <w:b/>
          <w:lang w:val="en-AU" w:eastAsia="en-GB" w:bidi="ar-SA"/>
        </w:rPr>
        <w:t>1.</w:t>
      </w:r>
      <w:r w:rsidRPr="000576EB">
        <w:rPr>
          <w:b/>
          <w:lang w:val="en-AU" w:eastAsia="en-GB" w:bidi="ar-SA"/>
        </w:rPr>
        <w:tab/>
        <w:t>Authority</w:t>
      </w:r>
    </w:p>
    <w:p w14:paraId="557BFAB9" w14:textId="77777777" w:rsidR="00CA3CAF" w:rsidRDefault="00CA3CAF" w:rsidP="00CA3CAF">
      <w:pPr>
        <w:rPr>
          <w:lang w:val="en-AU" w:eastAsia="en-GB" w:bidi="ar-SA"/>
        </w:rPr>
      </w:pPr>
    </w:p>
    <w:p w14:paraId="104E5E9B" w14:textId="77777777" w:rsidR="00CA3CAF" w:rsidRPr="00D13E34" w:rsidRDefault="00CA3CAF" w:rsidP="00CA3CA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9901A28" w14:textId="77777777" w:rsidR="00CA3CAF" w:rsidRPr="00D13E34" w:rsidRDefault="00CA3CAF" w:rsidP="00CA3CAF">
      <w:pPr>
        <w:widowControl/>
        <w:autoSpaceDE w:val="0"/>
        <w:autoSpaceDN w:val="0"/>
        <w:adjustRightInd w:val="0"/>
        <w:rPr>
          <w:rFonts w:eastAsia="Calibri" w:cs="Arial"/>
          <w:bCs/>
          <w:szCs w:val="22"/>
          <w:lang w:val="en-AU" w:bidi="ar-SA"/>
        </w:rPr>
      </w:pPr>
    </w:p>
    <w:p w14:paraId="18482CB4" w14:textId="77777777" w:rsidR="00CA3CAF" w:rsidRPr="00942747" w:rsidRDefault="00CA3CAF" w:rsidP="00CA3CAF">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3E7A366" w14:textId="77777777" w:rsidR="00CA3CAF" w:rsidRPr="00942747" w:rsidRDefault="00CA3CAF" w:rsidP="00CA3CAF">
      <w:pPr>
        <w:widowControl/>
        <w:autoSpaceDE w:val="0"/>
        <w:autoSpaceDN w:val="0"/>
        <w:adjustRightInd w:val="0"/>
        <w:rPr>
          <w:rFonts w:eastAsia="Calibri" w:cs="Arial"/>
          <w:bCs/>
          <w:szCs w:val="22"/>
          <w:lang w:val="en-AU" w:bidi="ar-SA"/>
        </w:rPr>
      </w:pPr>
    </w:p>
    <w:p w14:paraId="087447C4" w14:textId="1A23F042" w:rsidR="00CA3CAF" w:rsidRPr="00942747" w:rsidRDefault="00CA3CAF" w:rsidP="00CA3CAF">
      <w:pPr>
        <w:widowControl/>
        <w:autoSpaceDE w:val="0"/>
        <w:autoSpaceDN w:val="0"/>
        <w:adjustRightInd w:val="0"/>
        <w:rPr>
          <w:rFonts w:eastAsia="Calibri" w:cs="Arial"/>
          <w:bCs/>
          <w:szCs w:val="22"/>
          <w:lang w:val="en-AU" w:bidi="ar-SA"/>
        </w:rPr>
      </w:pPr>
      <w:r w:rsidRPr="00942747">
        <w:rPr>
          <w:rFonts w:eastAsia="Calibri" w:cs="Arial"/>
          <w:bCs/>
          <w:szCs w:val="22"/>
          <w:lang w:val="en-AU" w:bidi="ar-SA"/>
        </w:rPr>
        <w:t xml:space="preserve">FSANZ accepted Application A1127, which seeks to </w:t>
      </w:r>
      <w:r w:rsidRPr="00942747">
        <w:rPr>
          <w:rFonts w:eastAsia="Calibri" w:cs="Arial"/>
          <w:bCs/>
          <w:szCs w:val="22"/>
          <w:lang w:bidi="ar-SA"/>
        </w:rPr>
        <w:t xml:space="preserve">permit the use of four processing aids, silver chloride, </w:t>
      </w:r>
      <w:r>
        <w:rPr>
          <w:rFonts w:eastAsia="Calibri" w:cs="Arial"/>
          <w:bCs/>
          <w:szCs w:val="22"/>
          <w:lang w:bidi="ar-SA"/>
        </w:rPr>
        <w:t>ammonium bisulphite</w:t>
      </w:r>
      <w:r w:rsidRPr="00942747">
        <w:rPr>
          <w:rFonts w:eastAsia="Calibri" w:cs="Arial"/>
          <w:bCs/>
          <w:szCs w:val="22"/>
          <w:lang w:bidi="ar-SA"/>
        </w:rPr>
        <w:t>, chitin-glucan and PVI/PVP as processing aids for wine.</w:t>
      </w:r>
      <w:r w:rsidRPr="00942747">
        <w:rPr>
          <w:rFonts w:eastAsia="Calibri" w:cs="Arial"/>
          <w:bCs/>
          <w:szCs w:val="22"/>
          <w:lang w:val="en-AU" w:bidi="ar-SA"/>
        </w:rPr>
        <w:t xml:space="preserve"> The Authority considered the Application in accordance with Division 1 of Part 3 and has </w:t>
      </w:r>
      <w:r w:rsidR="00286DF4">
        <w:rPr>
          <w:rFonts w:eastAsia="Calibri" w:cs="Arial"/>
          <w:bCs/>
          <w:szCs w:val="22"/>
          <w:lang w:val="en-AU" w:bidi="ar-SA"/>
        </w:rPr>
        <w:t>approved</w:t>
      </w:r>
      <w:r w:rsidR="00286DF4" w:rsidRPr="00942747">
        <w:rPr>
          <w:rFonts w:eastAsia="Calibri" w:cs="Arial"/>
          <w:bCs/>
          <w:szCs w:val="22"/>
          <w:lang w:val="en-AU" w:bidi="ar-SA"/>
        </w:rPr>
        <w:t xml:space="preserve"> </w:t>
      </w:r>
      <w:r w:rsidRPr="00942747">
        <w:rPr>
          <w:rFonts w:eastAsia="Calibri" w:cs="Arial"/>
          <w:bCs/>
          <w:szCs w:val="22"/>
          <w:lang w:val="en-AU" w:bidi="ar-SA"/>
        </w:rPr>
        <w:t xml:space="preserve">a draft variation. </w:t>
      </w:r>
    </w:p>
    <w:p w14:paraId="6FF1D728" w14:textId="77777777" w:rsidR="00CA3CAF" w:rsidRDefault="00CA3CAF" w:rsidP="00CA3CAF">
      <w:pPr>
        <w:widowControl/>
        <w:autoSpaceDE w:val="0"/>
        <w:autoSpaceDN w:val="0"/>
        <w:adjustRightInd w:val="0"/>
        <w:rPr>
          <w:rFonts w:eastAsia="Calibri" w:cs="Arial"/>
          <w:bCs/>
          <w:szCs w:val="22"/>
          <w:lang w:val="en-AU" w:bidi="ar-SA"/>
        </w:rPr>
      </w:pPr>
    </w:p>
    <w:p w14:paraId="16D53B2D" w14:textId="77777777" w:rsidR="0041690B" w:rsidRPr="0041690B" w:rsidRDefault="0041690B" w:rsidP="0041690B">
      <w:pPr>
        <w:widowControl/>
        <w:autoSpaceDE w:val="0"/>
        <w:autoSpaceDN w:val="0"/>
        <w:adjustRightInd w:val="0"/>
        <w:rPr>
          <w:rFonts w:eastAsia="Calibri" w:cs="Arial"/>
          <w:bCs/>
          <w:szCs w:val="22"/>
          <w:lang w:val="en-AU" w:bidi="ar-SA"/>
        </w:rPr>
      </w:pPr>
      <w:r w:rsidRPr="0041690B">
        <w:rPr>
          <w:rFonts w:eastAsia="Calibri" w:cs="Arial"/>
          <w:bCs/>
          <w:szCs w:val="22"/>
          <w:lang w:val="en-AU" w:bidi="ar-SA"/>
        </w:rPr>
        <w:t xml:space="preserve">Following consideration by the Australia and New Zealand Ministerial Forum on Food Regulation, section 92 of the FSANZ Act stipulates that the Authority must publish a notice about the standard or draft variation of a standard. </w:t>
      </w:r>
    </w:p>
    <w:p w14:paraId="0D4BDDAE" w14:textId="77777777" w:rsidR="0041690B" w:rsidRPr="0041690B" w:rsidRDefault="0041690B" w:rsidP="0041690B">
      <w:pPr>
        <w:widowControl/>
        <w:autoSpaceDE w:val="0"/>
        <w:autoSpaceDN w:val="0"/>
        <w:adjustRightInd w:val="0"/>
        <w:rPr>
          <w:rFonts w:eastAsia="Calibri" w:cs="Arial"/>
          <w:bCs/>
          <w:szCs w:val="22"/>
          <w:lang w:val="en-AU" w:bidi="ar-SA"/>
        </w:rPr>
      </w:pPr>
    </w:p>
    <w:p w14:paraId="328415C2" w14:textId="77777777" w:rsidR="0041690B" w:rsidRPr="0041690B" w:rsidRDefault="0041690B" w:rsidP="0041690B">
      <w:pPr>
        <w:widowControl/>
        <w:autoSpaceDE w:val="0"/>
        <w:autoSpaceDN w:val="0"/>
        <w:adjustRightInd w:val="0"/>
        <w:rPr>
          <w:rFonts w:eastAsia="Calibri" w:cs="Arial"/>
          <w:bCs/>
          <w:szCs w:val="22"/>
          <w:lang w:val="en-AU" w:bidi="ar-SA"/>
        </w:rPr>
      </w:pPr>
      <w:r w:rsidRPr="0041690B">
        <w:rPr>
          <w:rFonts w:eastAsia="Calibri" w:cs="Arial"/>
          <w:bCs/>
          <w:szCs w:val="22"/>
          <w:lang w:val="en-AU" w:bidi="ar-SA"/>
        </w:rPr>
        <w:t>Section 94 of the FSANZ Act specifies that a standard, or a variation of a standard, in relation to which a notice is published under section 92 is a legislative instrument, but is not subject to parliamentary disallowance or sunsetting under the Legislation Act 2003.</w:t>
      </w:r>
    </w:p>
    <w:p w14:paraId="48113167" w14:textId="77777777" w:rsidR="0041690B" w:rsidRPr="00D13E34" w:rsidRDefault="0041690B" w:rsidP="00CA3CAF">
      <w:pPr>
        <w:widowControl/>
        <w:autoSpaceDE w:val="0"/>
        <w:autoSpaceDN w:val="0"/>
        <w:adjustRightInd w:val="0"/>
        <w:rPr>
          <w:rFonts w:eastAsia="Calibri" w:cs="Arial"/>
          <w:bCs/>
          <w:szCs w:val="22"/>
          <w:lang w:val="en-AU" w:bidi="ar-SA"/>
        </w:rPr>
      </w:pPr>
    </w:p>
    <w:p w14:paraId="2BD81923" w14:textId="77777777" w:rsidR="00CA3CAF" w:rsidRDefault="00CA3CAF" w:rsidP="00CA3CAF">
      <w:pPr>
        <w:rPr>
          <w:b/>
          <w:lang w:val="en-AU" w:eastAsia="en-GB" w:bidi="ar-SA"/>
        </w:rPr>
      </w:pPr>
      <w:r>
        <w:rPr>
          <w:b/>
          <w:lang w:val="en-AU" w:eastAsia="en-GB" w:bidi="ar-SA"/>
        </w:rPr>
        <w:t>2.</w:t>
      </w:r>
      <w:r>
        <w:rPr>
          <w:b/>
          <w:lang w:val="en-AU" w:eastAsia="en-GB" w:bidi="ar-SA"/>
        </w:rPr>
        <w:tab/>
        <w:t xml:space="preserve">Purpose </w:t>
      </w:r>
    </w:p>
    <w:p w14:paraId="1C491415" w14:textId="77777777" w:rsidR="00CA3CAF" w:rsidRDefault="00CA3CAF" w:rsidP="00CA3CAF">
      <w:pPr>
        <w:rPr>
          <w:lang w:val="en-AU" w:eastAsia="en-GB" w:bidi="ar-SA"/>
        </w:rPr>
      </w:pPr>
    </w:p>
    <w:p w14:paraId="3A941E3B" w14:textId="03F338A0" w:rsidR="00CA3CAF" w:rsidRDefault="002227C2" w:rsidP="00CA3CAF">
      <w:pPr>
        <w:rPr>
          <w:lang w:val="en-AU" w:eastAsia="en-GB" w:bidi="ar-SA"/>
        </w:rPr>
      </w:pPr>
      <w:r w:rsidRPr="00744671">
        <w:rPr>
          <w:lang w:eastAsia="en-GB" w:bidi="ar-SA"/>
        </w:rPr>
        <w:t>The Authority has approved an amendment to the Code to</w:t>
      </w:r>
      <w:r>
        <w:rPr>
          <w:lang w:eastAsia="en-GB" w:bidi="ar-SA"/>
        </w:rPr>
        <w:t xml:space="preserve"> permit </w:t>
      </w:r>
      <w:r w:rsidR="00CA3CAF" w:rsidRPr="00942747">
        <w:rPr>
          <w:lang w:val="en-AU" w:eastAsia="en-GB" w:bidi="ar-SA"/>
        </w:rPr>
        <w:t xml:space="preserve">the use of </w:t>
      </w:r>
      <w:r w:rsidR="00CA3CAF" w:rsidRPr="006405F2">
        <w:t xml:space="preserve">chitin-glucan, PVI/PVP co-polymers, </w:t>
      </w:r>
      <w:r w:rsidR="00CA3CAF">
        <w:t>ammonium bisulphite</w:t>
      </w:r>
      <w:r w:rsidR="00CA3CAF" w:rsidRPr="006405F2">
        <w:t xml:space="preserve">, and silver chloride </w:t>
      </w:r>
      <w:r w:rsidR="00CA3CAF" w:rsidRPr="00942747">
        <w:rPr>
          <w:rFonts w:eastAsia="Calibri" w:cs="Arial"/>
          <w:bCs/>
          <w:szCs w:val="22"/>
          <w:lang w:bidi="ar-SA"/>
        </w:rPr>
        <w:t xml:space="preserve">as processing aids </w:t>
      </w:r>
      <w:r>
        <w:rPr>
          <w:rFonts w:eastAsia="Calibri" w:cs="Arial"/>
          <w:bCs/>
          <w:szCs w:val="22"/>
          <w:lang w:bidi="ar-SA"/>
        </w:rPr>
        <w:t>in the manufacture of</w:t>
      </w:r>
      <w:r w:rsidRPr="00942747">
        <w:rPr>
          <w:rFonts w:eastAsia="Calibri" w:cs="Arial"/>
          <w:bCs/>
          <w:szCs w:val="22"/>
          <w:lang w:bidi="ar-SA"/>
        </w:rPr>
        <w:t xml:space="preserve"> </w:t>
      </w:r>
      <w:r w:rsidR="00CA3CAF" w:rsidRPr="00942747">
        <w:rPr>
          <w:rFonts w:eastAsia="Calibri" w:cs="Arial"/>
          <w:bCs/>
          <w:szCs w:val="22"/>
          <w:lang w:bidi="ar-SA"/>
        </w:rPr>
        <w:t>wine</w:t>
      </w:r>
      <w:r>
        <w:rPr>
          <w:rFonts w:eastAsia="Calibri" w:cs="Arial"/>
          <w:bCs/>
          <w:szCs w:val="22"/>
          <w:lang w:bidi="ar-SA"/>
        </w:rPr>
        <w:t>, sparkling wine and fortified wine</w:t>
      </w:r>
    </w:p>
    <w:p w14:paraId="5F58848A" w14:textId="77777777" w:rsidR="00CA3CAF" w:rsidRDefault="00CA3CAF" w:rsidP="00CA3CAF">
      <w:pPr>
        <w:rPr>
          <w:lang w:val="en-AU" w:eastAsia="en-GB" w:bidi="ar-SA"/>
        </w:rPr>
      </w:pPr>
    </w:p>
    <w:p w14:paraId="61E18A6E" w14:textId="77777777" w:rsidR="00CA3CAF" w:rsidRPr="000576EB" w:rsidRDefault="00CA3CAF" w:rsidP="00CA3CAF">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488982C" w14:textId="77777777" w:rsidR="00CA3CAF" w:rsidRDefault="00CA3CAF" w:rsidP="00CA3CAF">
      <w:pPr>
        <w:rPr>
          <w:lang w:val="en-AU" w:eastAsia="en-GB" w:bidi="ar-SA"/>
        </w:rPr>
      </w:pPr>
    </w:p>
    <w:p w14:paraId="27428D47" w14:textId="77777777" w:rsidR="00CA3CAF" w:rsidRPr="00D13E34" w:rsidRDefault="00CA3CAF" w:rsidP="00CA3CA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3F32A699" w14:textId="77777777" w:rsidR="00CA3CAF" w:rsidRDefault="00CA3CAF" w:rsidP="00CA3CAF">
      <w:pPr>
        <w:rPr>
          <w:lang w:val="en-AU" w:eastAsia="en-GB" w:bidi="ar-SA"/>
        </w:rPr>
      </w:pPr>
    </w:p>
    <w:p w14:paraId="152E1234" w14:textId="77777777" w:rsidR="00CA3CAF" w:rsidRPr="000576EB" w:rsidRDefault="00CA3CAF" w:rsidP="00CA3CAF">
      <w:pPr>
        <w:rPr>
          <w:b/>
          <w:lang w:val="en-AU" w:eastAsia="en-GB" w:bidi="ar-SA"/>
        </w:rPr>
      </w:pPr>
      <w:r w:rsidRPr="000576EB">
        <w:rPr>
          <w:b/>
          <w:lang w:val="en-AU" w:eastAsia="en-GB" w:bidi="ar-SA"/>
        </w:rPr>
        <w:t>4.</w:t>
      </w:r>
      <w:r w:rsidRPr="000576EB">
        <w:rPr>
          <w:b/>
          <w:lang w:val="en-AU" w:eastAsia="en-GB" w:bidi="ar-SA"/>
        </w:rPr>
        <w:tab/>
        <w:t>Consultation</w:t>
      </w:r>
    </w:p>
    <w:p w14:paraId="237D0778" w14:textId="77777777" w:rsidR="00CA3CAF" w:rsidRDefault="00CA3CAF" w:rsidP="00CA3CAF">
      <w:pPr>
        <w:rPr>
          <w:lang w:val="en-AU" w:eastAsia="en-GB" w:bidi="ar-SA"/>
        </w:rPr>
      </w:pPr>
    </w:p>
    <w:p w14:paraId="0E945160" w14:textId="205D1E90" w:rsidR="00CA3CAF" w:rsidRPr="00362CBC" w:rsidRDefault="00CA3CAF" w:rsidP="00CA3CAF">
      <w:pPr>
        <w:rPr>
          <w:lang w:val="en-AU"/>
        </w:rPr>
      </w:pPr>
      <w:r w:rsidRPr="00942747">
        <w:rPr>
          <w:szCs w:val="22"/>
        </w:rPr>
        <w:t xml:space="preserve">In accordance with the procedure in Division 1 of Part 3 of the FSANZ Act, </w:t>
      </w:r>
      <w:r w:rsidRPr="00942747">
        <w:rPr>
          <w:rFonts w:eastAsia="Calibri" w:cs="Arial"/>
          <w:bCs/>
          <w:szCs w:val="22"/>
          <w:lang w:val="en-AU" w:bidi="ar-SA"/>
        </w:rPr>
        <w:t>the Authority</w:t>
      </w:r>
      <w:r w:rsidRPr="00942747">
        <w:rPr>
          <w:szCs w:val="22"/>
        </w:rPr>
        <w:t xml:space="preserve">’s </w:t>
      </w:r>
      <w:r w:rsidRPr="00596289">
        <w:rPr>
          <w:color w:val="000000" w:themeColor="text1"/>
          <w:szCs w:val="22"/>
        </w:rPr>
        <w:t>consideration of Application A1127 include</w:t>
      </w:r>
      <w:r w:rsidR="00656EDF" w:rsidRPr="00596289">
        <w:rPr>
          <w:color w:val="000000" w:themeColor="text1"/>
          <w:szCs w:val="22"/>
        </w:rPr>
        <w:t>d</w:t>
      </w:r>
      <w:r w:rsidRPr="00596289">
        <w:rPr>
          <w:color w:val="000000" w:themeColor="text1"/>
          <w:szCs w:val="22"/>
        </w:rPr>
        <w:t xml:space="preserve"> one round of public consultation </w:t>
      </w:r>
      <w:r w:rsidR="00656EDF" w:rsidRPr="00596289">
        <w:rPr>
          <w:color w:val="000000" w:themeColor="text1"/>
          <w:szCs w:val="22"/>
        </w:rPr>
        <w:t xml:space="preserve">preceded by </w:t>
      </w:r>
      <w:r w:rsidRPr="00596289">
        <w:rPr>
          <w:color w:val="000000" w:themeColor="text1"/>
          <w:szCs w:val="22"/>
        </w:rPr>
        <w:t xml:space="preserve">an assessment and the preparation of a draft variation and associated assessment summary. </w:t>
      </w:r>
      <w:r w:rsidR="0041690B" w:rsidRPr="00596289">
        <w:rPr>
          <w:color w:val="000000" w:themeColor="text1"/>
          <w:szCs w:val="22"/>
        </w:rPr>
        <w:t xml:space="preserve">Submissions were called for on </w:t>
      </w:r>
      <w:r w:rsidR="00596289" w:rsidRPr="00596289">
        <w:rPr>
          <w:color w:val="000000" w:themeColor="text1"/>
          <w:szCs w:val="22"/>
        </w:rPr>
        <w:t xml:space="preserve">26 April 2017, </w:t>
      </w:r>
      <w:r w:rsidR="0041690B" w:rsidRPr="00596289">
        <w:rPr>
          <w:color w:val="000000" w:themeColor="text1"/>
          <w:szCs w:val="22"/>
        </w:rPr>
        <w:t xml:space="preserve">for a six-week consultation period. </w:t>
      </w:r>
    </w:p>
    <w:p w14:paraId="6B028DFD" w14:textId="77777777" w:rsidR="00CA3CAF" w:rsidRPr="00942747" w:rsidRDefault="00CA3CAF" w:rsidP="00CA3CAF"/>
    <w:p w14:paraId="5C0E1300" w14:textId="77777777" w:rsidR="00CA3CAF" w:rsidRPr="00942747" w:rsidRDefault="00CA3CAF" w:rsidP="00CA3CAF">
      <w:pPr>
        <w:widowControl/>
        <w:autoSpaceDE w:val="0"/>
        <w:autoSpaceDN w:val="0"/>
        <w:adjustRightInd w:val="0"/>
        <w:rPr>
          <w:rFonts w:cs="Arial"/>
          <w:szCs w:val="22"/>
        </w:rPr>
      </w:pPr>
      <w:r w:rsidRPr="00942747">
        <w:rPr>
          <w:rFonts w:eastAsia="Calibri" w:cs="Arial"/>
          <w:bCs/>
          <w:szCs w:val="22"/>
          <w:lang w:val="en-AU" w:bidi="ar-SA"/>
        </w:rPr>
        <w:t xml:space="preserve">A Regulation Impact Statement was not required because the proposed variations to Standard 4.5.1 </w:t>
      </w:r>
      <w:r>
        <w:rPr>
          <w:rFonts w:eastAsia="Calibri" w:cs="Arial"/>
          <w:bCs/>
          <w:szCs w:val="22"/>
          <w:lang w:val="en-AU" w:bidi="ar-SA"/>
        </w:rPr>
        <w:t xml:space="preserve">and Schedule 18 </w:t>
      </w:r>
      <w:r w:rsidRPr="00942747">
        <w:t xml:space="preserve">are likely to have a minor impact on business and individuals. </w:t>
      </w:r>
    </w:p>
    <w:p w14:paraId="22FBDD04" w14:textId="77777777" w:rsidR="00CA3CAF" w:rsidRDefault="00CA3CAF" w:rsidP="00CA3CAF">
      <w:pPr>
        <w:widowControl/>
        <w:rPr>
          <w:rFonts w:eastAsiaTheme="minorHAnsi" w:cs="Arial"/>
          <w:b/>
          <w:bCs/>
          <w:szCs w:val="22"/>
          <w:lang w:val="en-AU" w:bidi="ar-SA"/>
        </w:rPr>
      </w:pPr>
    </w:p>
    <w:p w14:paraId="335A9927" w14:textId="77777777" w:rsidR="00CA3CAF" w:rsidRDefault="00CA3CAF" w:rsidP="00CA3CAF">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5B23793" w14:textId="77777777" w:rsidR="00CA3CAF" w:rsidRDefault="00CA3CAF" w:rsidP="00CA3CAF">
      <w:pPr>
        <w:rPr>
          <w:rFonts w:eastAsiaTheme="minorHAnsi"/>
          <w:lang w:val="en-AU" w:bidi="ar-SA"/>
        </w:rPr>
      </w:pPr>
    </w:p>
    <w:p w14:paraId="110AC40B" w14:textId="77777777" w:rsidR="00CA3CAF" w:rsidRDefault="00CA3CAF" w:rsidP="00CA3CAF">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15FA4DF" w14:textId="7535B3AE" w:rsidR="00CA3CAF" w:rsidRPr="00700239" w:rsidRDefault="00CA3CAF" w:rsidP="00CA3CAF">
      <w:pPr>
        <w:rPr>
          <w:b/>
          <w:lang w:val="en-AU" w:eastAsia="en-GB" w:bidi="ar-SA"/>
        </w:rPr>
      </w:pPr>
      <w:r w:rsidRPr="00700239">
        <w:rPr>
          <w:b/>
        </w:rPr>
        <w:lastRenderedPageBreak/>
        <w:t>6.</w:t>
      </w:r>
      <w:r w:rsidRPr="00700239">
        <w:rPr>
          <w:b/>
        </w:rPr>
        <w:tab/>
      </w:r>
      <w:r w:rsidRPr="00700239">
        <w:rPr>
          <w:b/>
          <w:lang w:val="en-AU" w:eastAsia="en-GB" w:bidi="ar-SA"/>
        </w:rPr>
        <w:t>Variation</w:t>
      </w:r>
    </w:p>
    <w:p w14:paraId="6D44C751" w14:textId="77777777" w:rsidR="00CA3CAF" w:rsidRDefault="00CA3CAF" w:rsidP="00CA3CAF"/>
    <w:p w14:paraId="029F5322" w14:textId="23A29B46" w:rsidR="00CA3CAF" w:rsidRPr="007C1FC8" w:rsidRDefault="00CA3CAF" w:rsidP="00CA3CAF">
      <w:pPr>
        <w:widowControl/>
        <w:rPr>
          <w:szCs w:val="22"/>
          <w:lang w:bidi="ar-SA"/>
        </w:rPr>
      </w:pPr>
      <w:r>
        <w:rPr>
          <w:szCs w:val="22"/>
          <w:lang w:bidi="ar-SA"/>
        </w:rPr>
        <w:t xml:space="preserve">Item [1] amends Standard 4.5.1 by inserting references </w:t>
      </w:r>
      <w:r w:rsidR="00663A18">
        <w:rPr>
          <w:szCs w:val="22"/>
          <w:lang w:bidi="ar-SA"/>
        </w:rPr>
        <w:t xml:space="preserve">to the following substances </w:t>
      </w:r>
      <w:r>
        <w:rPr>
          <w:szCs w:val="22"/>
          <w:lang w:bidi="ar-SA"/>
        </w:rPr>
        <w:t xml:space="preserve">into the table to clause 4 in alphabetical order: </w:t>
      </w:r>
      <w:r w:rsidR="00A254E2">
        <w:rPr>
          <w:szCs w:val="22"/>
          <w:lang w:bidi="ar-SA"/>
        </w:rPr>
        <w:t>a</w:t>
      </w:r>
      <w:r w:rsidR="00A254E2" w:rsidRPr="00231A31">
        <w:rPr>
          <w:szCs w:val="22"/>
          <w:lang w:bidi="ar-SA"/>
        </w:rPr>
        <w:t xml:space="preserve">mmonium </w:t>
      </w:r>
      <w:r w:rsidR="00A254E2">
        <w:rPr>
          <w:szCs w:val="22"/>
          <w:lang w:bidi="ar-SA"/>
        </w:rPr>
        <w:t>bi</w:t>
      </w:r>
      <w:r w:rsidR="00A254E2" w:rsidRPr="00231A31">
        <w:rPr>
          <w:szCs w:val="22"/>
          <w:lang w:bidi="ar-SA"/>
        </w:rPr>
        <w:t>sulphite</w:t>
      </w:r>
      <w:r w:rsidR="00A254E2">
        <w:rPr>
          <w:szCs w:val="22"/>
          <w:lang w:bidi="ar-SA"/>
        </w:rPr>
        <w:t xml:space="preserve">, </w:t>
      </w:r>
      <w:r>
        <w:rPr>
          <w:szCs w:val="22"/>
          <w:lang w:bidi="ar-SA"/>
        </w:rPr>
        <w:t>c</w:t>
      </w:r>
      <w:r w:rsidRPr="00231A31">
        <w:rPr>
          <w:szCs w:val="22"/>
          <w:lang w:bidi="ar-SA"/>
        </w:rPr>
        <w:t>hitin-glucan</w:t>
      </w:r>
      <w:r w:rsidR="00A254E2">
        <w:rPr>
          <w:szCs w:val="22"/>
          <w:lang w:val="en-NZ" w:bidi="ar-SA"/>
        </w:rPr>
        <w:t xml:space="preserve"> and </w:t>
      </w:r>
      <w:r>
        <w:rPr>
          <w:szCs w:val="22"/>
          <w:lang w:val="en-NZ" w:bidi="ar-SA"/>
        </w:rPr>
        <w:t>polyvinylimidazole</w:t>
      </w:r>
      <w:r>
        <w:rPr>
          <w:szCs w:val="22"/>
          <w:lang w:val="en-NZ" w:bidi="ar-SA"/>
        </w:rPr>
        <w:noBreakHyphen/>
      </w:r>
      <w:r w:rsidRPr="00231A31">
        <w:rPr>
          <w:szCs w:val="22"/>
          <w:lang w:val="en-NZ" w:bidi="ar-SA"/>
        </w:rPr>
        <w:t xml:space="preserve">polyvinylpyrrolidone </w:t>
      </w:r>
      <w:r w:rsidRPr="00231A31">
        <w:rPr>
          <w:szCs w:val="22"/>
          <w:lang w:bidi="ar-SA"/>
        </w:rPr>
        <w:t>co-polymers</w:t>
      </w:r>
      <w:r>
        <w:rPr>
          <w:szCs w:val="22"/>
          <w:lang w:bidi="ar-SA"/>
        </w:rPr>
        <w:t xml:space="preserve">. </w:t>
      </w:r>
      <w:r w:rsidRPr="00593A08">
        <w:t xml:space="preserve">The effect of this amendment will be to permit the use of </w:t>
      </w:r>
      <w:r>
        <w:t xml:space="preserve">these </w:t>
      </w:r>
      <w:r w:rsidR="00656EDF">
        <w:t xml:space="preserve">three </w:t>
      </w:r>
      <w:r>
        <w:t>substances</w:t>
      </w:r>
      <w:r w:rsidRPr="00593A08">
        <w:t xml:space="preserve"> as processing aids in the </w:t>
      </w:r>
      <w:r w:rsidR="00E50596" w:rsidRPr="00E50596">
        <w:t>manufacture</w:t>
      </w:r>
      <w:r w:rsidRPr="00593A08">
        <w:t xml:space="preserv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t xml:space="preserve"> </w:t>
      </w:r>
      <w:r w:rsidRPr="00593A08">
        <w:t>in Australia</w:t>
      </w:r>
      <w:r w:rsidR="00656EDF">
        <w:t>.</w:t>
      </w:r>
    </w:p>
    <w:p w14:paraId="3544F7A0" w14:textId="77777777" w:rsidR="00CA3CAF" w:rsidRDefault="00CA3CAF" w:rsidP="00CA3CAF">
      <w:pPr>
        <w:widowControl/>
        <w:rPr>
          <w:szCs w:val="22"/>
          <w:lang w:bidi="ar-SA"/>
        </w:rPr>
      </w:pPr>
    </w:p>
    <w:p w14:paraId="31DC786A" w14:textId="17116B66" w:rsidR="00CA3CAF" w:rsidRDefault="00CA3CAF" w:rsidP="00CA3CAF">
      <w:pPr>
        <w:widowControl/>
        <w:rPr>
          <w:szCs w:val="22"/>
          <w:lang w:bidi="ar-SA"/>
        </w:rPr>
      </w:pPr>
      <w:r>
        <w:rPr>
          <w:szCs w:val="22"/>
          <w:lang w:bidi="ar-SA"/>
        </w:rPr>
        <w:t xml:space="preserve">Item [2] amends Schedule 18 by inserting </w:t>
      </w:r>
      <w:r w:rsidR="00663A18">
        <w:rPr>
          <w:szCs w:val="22"/>
          <w:lang w:bidi="ar-SA"/>
        </w:rPr>
        <w:t xml:space="preserve">references to </w:t>
      </w:r>
      <w:r w:rsidR="008116E7">
        <w:rPr>
          <w:szCs w:val="22"/>
          <w:lang w:bidi="ar-SA"/>
        </w:rPr>
        <w:t xml:space="preserve">the following substances </w:t>
      </w:r>
      <w:r>
        <w:rPr>
          <w:szCs w:val="22"/>
          <w:lang w:bidi="ar-SA"/>
        </w:rPr>
        <w:t xml:space="preserve">into the table to subsection </w:t>
      </w:r>
      <w:r w:rsidRPr="000109D5">
        <w:t>S18</w:t>
      </w:r>
      <w:r>
        <w:t xml:space="preserve">—9(3) </w:t>
      </w:r>
      <w:r w:rsidR="008116E7">
        <w:rPr>
          <w:szCs w:val="22"/>
          <w:lang w:bidi="ar-SA"/>
        </w:rPr>
        <w:t>in alphabetical order:</w:t>
      </w:r>
      <w:r>
        <w:t xml:space="preserve"> </w:t>
      </w:r>
      <w:r w:rsidR="00C73423">
        <w:rPr>
          <w:szCs w:val="22"/>
          <w:lang w:bidi="ar-SA"/>
        </w:rPr>
        <w:t>a</w:t>
      </w:r>
      <w:r w:rsidR="00C73423" w:rsidRPr="00231A31">
        <w:rPr>
          <w:szCs w:val="22"/>
          <w:lang w:bidi="ar-SA"/>
        </w:rPr>
        <w:t xml:space="preserve">mmonium </w:t>
      </w:r>
      <w:r w:rsidR="00C73423">
        <w:rPr>
          <w:szCs w:val="22"/>
          <w:lang w:bidi="ar-SA"/>
        </w:rPr>
        <w:t>bi</w:t>
      </w:r>
      <w:r w:rsidR="00C73423" w:rsidRPr="00231A31">
        <w:rPr>
          <w:szCs w:val="22"/>
          <w:lang w:bidi="ar-SA"/>
        </w:rPr>
        <w:t>sulphite</w:t>
      </w:r>
      <w:r w:rsidR="00C73423">
        <w:rPr>
          <w:szCs w:val="22"/>
          <w:lang w:bidi="ar-SA"/>
        </w:rPr>
        <w:t xml:space="preserve">, </w:t>
      </w:r>
      <w:r>
        <w:rPr>
          <w:szCs w:val="22"/>
          <w:lang w:bidi="ar-SA"/>
        </w:rPr>
        <w:t>chitin</w:t>
      </w:r>
      <w:r>
        <w:rPr>
          <w:szCs w:val="22"/>
          <w:lang w:bidi="ar-SA"/>
        </w:rPr>
        <w:noBreakHyphen/>
      </w:r>
      <w:r w:rsidRPr="00231A31">
        <w:rPr>
          <w:szCs w:val="22"/>
          <w:lang w:bidi="ar-SA"/>
        </w:rPr>
        <w:t>glucan</w:t>
      </w:r>
      <w:r>
        <w:rPr>
          <w:szCs w:val="22"/>
          <w:lang w:val="en-NZ" w:bidi="ar-SA"/>
        </w:rPr>
        <w:t>, p</w:t>
      </w:r>
      <w:r w:rsidRPr="00231A31">
        <w:rPr>
          <w:szCs w:val="22"/>
          <w:lang w:val="en-NZ" w:bidi="ar-SA"/>
        </w:rPr>
        <w:t xml:space="preserve">olyvinylimidazole-polyvinylpyrrolidone </w:t>
      </w:r>
      <w:r w:rsidRPr="00231A31">
        <w:rPr>
          <w:szCs w:val="22"/>
          <w:lang w:bidi="ar-SA"/>
        </w:rPr>
        <w:t>co-polymers</w:t>
      </w:r>
      <w:r>
        <w:rPr>
          <w:szCs w:val="22"/>
          <w:lang w:bidi="ar-SA"/>
        </w:rPr>
        <w:t xml:space="preserve"> and s</w:t>
      </w:r>
      <w:r w:rsidRPr="00231A31">
        <w:rPr>
          <w:szCs w:val="22"/>
          <w:lang w:bidi="ar-SA"/>
        </w:rPr>
        <w:t>ilver chloride</w:t>
      </w:r>
      <w:r>
        <w:rPr>
          <w:szCs w:val="22"/>
          <w:lang w:bidi="ar-SA"/>
        </w:rPr>
        <w:t xml:space="preserve">. </w:t>
      </w:r>
    </w:p>
    <w:p w14:paraId="3A3FE136" w14:textId="77777777" w:rsidR="0041690B" w:rsidRDefault="0041690B" w:rsidP="00CA3CAF">
      <w:pPr>
        <w:widowControl/>
        <w:rPr>
          <w:szCs w:val="22"/>
          <w:lang w:bidi="ar-SA"/>
        </w:rPr>
      </w:pPr>
    </w:p>
    <w:p w14:paraId="297E1F04" w14:textId="0FC399F2" w:rsidR="00CA3CAF" w:rsidRDefault="00CA3CAF" w:rsidP="00CA3CAF">
      <w:pPr>
        <w:widowControl/>
      </w:pPr>
      <w:r>
        <w:t>The new entry for</w:t>
      </w:r>
      <w:r>
        <w:rPr>
          <w:szCs w:val="22"/>
          <w:lang w:bidi="ar-SA"/>
        </w:rPr>
        <w:t xml:space="preserve"> a</w:t>
      </w:r>
      <w:r w:rsidRPr="00231A31">
        <w:rPr>
          <w:szCs w:val="22"/>
          <w:lang w:bidi="ar-SA"/>
        </w:rPr>
        <w:t>mmonium</w:t>
      </w:r>
      <w:r>
        <w:rPr>
          <w:szCs w:val="22"/>
          <w:lang w:bidi="ar-SA"/>
        </w:rPr>
        <w:t xml:space="preserve"> bi</w:t>
      </w:r>
      <w:r w:rsidRPr="00231A31">
        <w:rPr>
          <w:szCs w:val="22"/>
          <w:lang w:bidi="ar-SA"/>
        </w:rPr>
        <w:t>sulphite</w:t>
      </w:r>
      <w:r>
        <w:rPr>
          <w:szCs w:val="22"/>
          <w:lang w:bidi="ar-SA"/>
        </w:rPr>
        <w:t xml:space="preserve"> </w:t>
      </w:r>
      <w:r>
        <w:rPr>
          <w:szCs w:val="22"/>
        </w:rPr>
        <w:t xml:space="preserve">provides that </w:t>
      </w:r>
      <w:r w:rsidR="00AE4FEC">
        <w:rPr>
          <w:szCs w:val="22"/>
        </w:rPr>
        <w:t xml:space="preserve">the </w:t>
      </w:r>
      <w:r>
        <w:rPr>
          <w:szCs w:val="22"/>
        </w:rPr>
        <w:t>substance may be used as</w:t>
      </w:r>
      <w:r w:rsidRPr="00CB729E">
        <w:rPr>
          <w:szCs w:val="22"/>
        </w:rPr>
        <w:t xml:space="preserve"> </w:t>
      </w:r>
      <w:r>
        <w:rPr>
          <w:szCs w:val="22"/>
        </w:rPr>
        <w:t>a processing aid</w:t>
      </w:r>
      <w:r w:rsidRPr="003B0FC5">
        <w:rPr>
          <w:szCs w:val="22"/>
        </w:rPr>
        <w:t xml:space="preserve"> </w:t>
      </w:r>
      <w:r>
        <w:rPr>
          <w:szCs w:val="22"/>
        </w:rP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F64FF2">
        <w:rPr>
          <w:szCs w:val="22"/>
        </w:rPr>
        <w:t>,</w:t>
      </w:r>
      <w:r>
        <w:rPr>
          <w:szCs w:val="22"/>
        </w:rPr>
        <w:t xml:space="preserve"> </w:t>
      </w:r>
      <w:r w:rsidRPr="003B0FC5">
        <w:rPr>
          <w:szCs w:val="22"/>
        </w:rPr>
        <w:t xml:space="preserve">for the </w:t>
      </w:r>
      <w:r>
        <w:t>technological purpose of acting as a m</w:t>
      </w:r>
      <w:r w:rsidRPr="00592060">
        <w:t>icrobial nutrient and microbial nutrient</w:t>
      </w:r>
      <w:r>
        <w:t xml:space="preserve"> adjunct.</w:t>
      </w:r>
    </w:p>
    <w:p w14:paraId="6678ADE6" w14:textId="77777777" w:rsidR="00CA3CAF" w:rsidRDefault="00CA3CAF" w:rsidP="00CA3CAF">
      <w:pPr>
        <w:widowControl/>
      </w:pPr>
    </w:p>
    <w:p w14:paraId="3EB43B67" w14:textId="32B2E459" w:rsidR="00CA3CAF" w:rsidRDefault="00CA3CAF" w:rsidP="00CA3CAF">
      <w:pPr>
        <w:widowControl/>
      </w:pPr>
      <w:r>
        <w:t>The new entries for</w:t>
      </w:r>
      <w:r>
        <w:rPr>
          <w:szCs w:val="22"/>
          <w:lang w:bidi="ar-SA"/>
        </w:rPr>
        <w:t xml:space="preserve"> c</w:t>
      </w:r>
      <w:r w:rsidRPr="00231A31">
        <w:rPr>
          <w:szCs w:val="22"/>
          <w:lang w:bidi="ar-SA"/>
        </w:rPr>
        <w:t>hitin-glucan</w:t>
      </w:r>
      <w:r>
        <w:rPr>
          <w:szCs w:val="22"/>
        </w:rPr>
        <w:t xml:space="preserve"> and for </w:t>
      </w:r>
      <w:r>
        <w:rPr>
          <w:szCs w:val="22"/>
          <w:lang w:val="en-NZ" w:bidi="ar-SA"/>
        </w:rPr>
        <w:t>p</w:t>
      </w:r>
      <w:r w:rsidRPr="00231A31">
        <w:rPr>
          <w:szCs w:val="22"/>
          <w:lang w:val="en-NZ" w:bidi="ar-SA"/>
        </w:rPr>
        <w:t>olyvinylimidazole-polyvinylpyrrolidone</w:t>
      </w:r>
      <w:r>
        <w:rPr>
          <w:szCs w:val="22"/>
          <w:lang w:val="en-NZ" w:bidi="ar-SA"/>
        </w:rPr>
        <w:t xml:space="preserve"> </w:t>
      </w:r>
      <w:r>
        <w:rPr>
          <w:szCs w:val="22"/>
        </w:rPr>
        <w:t>provide that each substance may be used as</w:t>
      </w:r>
      <w:r w:rsidRPr="00CB729E">
        <w:rPr>
          <w:szCs w:val="22"/>
        </w:rPr>
        <w:t xml:space="preserve"> </w:t>
      </w:r>
      <w:r>
        <w:rPr>
          <w:szCs w:val="22"/>
        </w:rPr>
        <w:t>a processing aid</w:t>
      </w:r>
      <w:r w:rsidRPr="003B0FC5">
        <w:rPr>
          <w:szCs w:val="22"/>
        </w:rPr>
        <w:t xml:space="preserve"> </w:t>
      </w:r>
      <w:r>
        <w:rPr>
          <w:szCs w:val="22"/>
        </w:rP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rPr>
          <w:szCs w:val="22"/>
        </w:rPr>
        <w:t xml:space="preserve"> </w:t>
      </w:r>
      <w:r w:rsidRPr="00F64FF2">
        <w:rPr>
          <w:szCs w:val="22"/>
        </w:rPr>
        <w:t>f</w:t>
      </w:r>
      <w:r w:rsidRPr="003B0FC5">
        <w:rPr>
          <w:szCs w:val="22"/>
        </w:rPr>
        <w:t xml:space="preserve">or the </w:t>
      </w:r>
      <w:r>
        <w:t>technological purpose of acting as a decolourant, clarifying, filtration and absorbent agent.</w:t>
      </w:r>
    </w:p>
    <w:p w14:paraId="0F1A1B1A" w14:textId="77777777" w:rsidR="002227C2" w:rsidRDefault="002227C2" w:rsidP="00CA3CAF">
      <w:pPr>
        <w:widowControl/>
      </w:pPr>
    </w:p>
    <w:p w14:paraId="2357B902" w14:textId="744E3B9D" w:rsidR="00CA3CAF" w:rsidRDefault="00CA3CAF" w:rsidP="00CA3CAF">
      <w:pPr>
        <w:widowControl/>
        <w:rPr>
          <w:szCs w:val="22"/>
          <w:lang w:bidi="ar-SA"/>
        </w:rPr>
      </w:pPr>
      <w:r>
        <w:t>The new entry for</w:t>
      </w:r>
      <w:r>
        <w:rPr>
          <w:szCs w:val="22"/>
          <w:lang w:bidi="ar-SA"/>
        </w:rPr>
        <w:t xml:space="preserve"> </w:t>
      </w:r>
      <w:r>
        <w:t xml:space="preserve">silver chloride </w:t>
      </w:r>
      <w:r>
        <w:rPr>
          <w:szCs w:val="22"/>
        </w:rPr>
        <w:t>provides that th</w:t>
      </w:r>
      <w:r w:rsidR="00673965">
        <w:rPr>
          <w:szCs w:val="22"/>
        </w:rPr>
        <w:t>e</w:t>
      </w:r>
      <w:r>
        <w:rPr>
          <w:szCs w:val="22"/>
        </w:rPr>
        <w:t xml:space="preserve"> substance may be used as</w:t>
      </w:r>
      <w:r w:rsidRPr="00CB729E">
        <w:rPr>
          <w:szCs w:val="22"/>
        </w:rPr>
        <w:t xml:space="preserve"> </w:t>
      </w:r>
      <w:r>
        <w:rPr>
          <w:szCs w:val="22"/>
        </w:rPr>
        <w:t>a processing aid</w:t>
      </w:r>
      <w:r w:rsidRPr="003B0FC5">
        <w:rPr>
          <w:szCs w:val="22"/>
        </w:rPr>
        <w:t xml:space="preserve"> </w:t>
      </w:r>
      <w:r>
        <w:t xml:space="preserve">in the manufacture of </w:t>
      </w:r>
      <w:r w:rsidR="002227C2" w:rsidRPr="00942747">
        <w:rPr>
          <w:rFonts w:eastAsia="Calibri" w:cs="Arial"/>
          <w:bCs/>
          <w:szCs w:val="22"/>
          <w:lang w:bidi="ar-SA"/>
        </w:rPr>
        <w:t>wine</w:t>
      </w:r>
      <w:r w:rsidR="002227C2">
        <w:rPr>
          <w:rFonts w:eastAsia="Calibri" w:cs="Arial"/>
          <w:bCs/>
          <w:szCs w:val="22"/>
          <w:lang w:bidi="ar-SA"/>
        </w:rPr>
        <w:t>, sparkling wine and fortified wine</w:t>
      </w:r>
      <w:r w:rsidR="002227C2" w:rsidDel="002227C2">
        <w:t xml:space="preserve"> </w:t>
      </w:r>
      <w:r w:rsidRPr="00F64FF2">
        <w:rPr>
          <w:szCs w:val="22"/>
        </w:rPr>
        <w:t>f</w:t>
      </w:r>
      <w:r w:rsidRPr="003B0FC5">
        <w:rPr>
          <w:szCs w:val="22"/>
        </w:rPr>
        <w:t xml:space="preserve">or the </w:t>
      </w:r>
      <w:r>
        <w:t>technological purpose of removing</w:t>
      </w:r>
      <w:r w:rsidRPr="00D17CF4">
        <w:t xml:space="preserve"> fermentation and storage-related odours</w:t>
      </w:r>
      <w:r>
        <w:t xml:space="preserve">. </w:t>
      </w:r>
    </w:p>
    <w:p w14:paraId="77614C5A" w14:textId="77777777" w:rsidR="00CA3CAF" w:rsidRDefault="00CA3CAF" w:rsidP="00CA3CAF">
      <w:pPr>
        <w:widowControl/>
        <w:rPr>
          <w:szCs w:val="22"/>
          <w:lang w:bidi="ar-SA"/>
        </w:rPr>
      </w:pPr>
    </w:p>
    <w:p w14:paraId="6ABB1599" w14:textId="77777777" w:rsidR="00CA3CAF" w:rsidRDefault="00CA3CAF" w:rsidP="00CA3CAF">
      <w:pPr>
        <w:widowControl/>
        <w:rPr>
          <w:szCs w:val="22"/>
          <w:lang w:bidi="ar-SA"/>
        </w:rPr>
      </w:pPr>
      <w:r>
        <w:t>Each new</w:t>
      </w:r>
      <w:r w:rsidRPr="00CB729E">
        <w:t xml:space="preserve"> entry also states that the maximum permitted level </w:t>
      </w:r>
      <w:r>
        <w:t>for each substance is</w:t>
      </w:r>
      <w:r w:rsidRPr="00CB729E">
        <w:t xml:space="preserve"> that which is consistent with </w:t>
      </w:r>
      <w:r>
        <w:t>GMP</w:t>
      </w:r>
    </w:p>
    <w:p w14:paraId="289C2F63" w14:textId="035E6DD4" w:rsidR="00456BD5" w:rsidRDefault="00456BD5" w:rsidP="00456BD5"/>
    <w:p w14:paraId="0AD2BD43" w14:textId="77777777" w:rsidR="00456BD5" w:rsidRDefault="00456BD5" w:rsidP="00456BD5">
      <w:pPr>
        <w:rPr>
          <w:lang w:val="en-AU" w:eastAsia="en-GB" w:bidi="ar-SA"/>
        </w:rPr>
      </w:pPr>
    </w:p>
    <w:p w14:paraId="51B37414" w14:textId="77777777" w:rsidR="00456BD5" w:rsidRDefault="00456BD5" w:rsidP="00456BD5">
      <w:pPr>
        <w:pStyle w:val="Heading2"/>
      </w:pPr>
      <w:r>
        <w:br w:type="page"/>
      </w:r>
    </w:p>
    <w:p w14:paraId="6EF41090" w14:textId="22FD6614" w:rsidR="00C6368C" w:rsidRDefault="003C4969" w:rsidP="00B74380">
      <w:pPr>
        <w:pStyle w:val="Heading2"/>
        <w:ind w:left="0" w:firstLine="0"/>
      </w:pPr>
      <w:bookmarkStart w:id="154" w:name="_Toc487795116"/>
      <w:bookmarkStart w:id="155" w:name="_Toc485047329"/>
      <w:r w:rsidRPr="006C2BC8">
        <w:lastRenderedPageBreak/>
        <w:t xml:space="preserve">Attachment </w:t>
      </w:r>
      <w:bookmarkStart w:id="156" w:name="_Toc11735637"/>
      <w:bookmarkStart w:id="157" w:name="_Toc29883122"/>
      <w:bookmarkStart w:id="158" w:name="_Toc41906809"/>
      <w:bookmarkStart w:id="159" w:name="_Toc41907556"/>
      <w:bookmarkStart w:id="160" w:name="_Toc120358587"/>
      <w:bookmarkStart w:id="161" w:name="_Toc175381446"/>
      <w:bookmarkStart w:id="162" w:name="_Toc175381454"/>
      <w:bookmarkEnd w:id="148"/>
      <w:bookmarkEnd w:id="149"/>
      <w:r w:rsidR="007D0189" w:rsidRPr="006C2BC8">
        <w:t>C</w:t>
      </w:r>
      <w:bookmarkEnd w:id="154"/>
    </w:p>
    <w:p w14:paraId="33F3C150" w14:textId="5D751002" w:rsidR="006C2BC8" w:rsidRPr="00C6368C" w:rsidRDefault="00795D86" w:rsidP="00C6368C">
      <w:pPr>
        <w:tabs>
          <w:tab w:val="left" w:pos="851"/>
        </w:tabs>
        <w:rPr>
          <w:b/>
          <w:sz w:val="28"/>
          <w:szCs w:val="28"/>
          <w:lang w:bidi="ar-SA"/>
        </w:rPr>
      </w:pPr>
      <w:r w:rsidRPr="00C6368C">
        <w:rPr>
          <w:b/>
          <w:sz w:val="28"/>
          <w:szCs w:val="28"/>
          <w:lang w:bidi="ar-SA"/>
        </w:rPr>
        <w:t xml:space="preserve">Draft </w:t>
      </w:r>
      <w:r w:rsidR="006C2BC8" w:rsidRPr="00C6368C">
        <w:rPr>
          <w:b/>
          <w:sz w:val="28"/>
          <w:szCs w:val="28"/>
          <w:lang w:bidi="ar-SA"/>
        </w:rPr>
        <w:t xml:space="preserve">variation/s </w:t>
      </w:r>
      <w:bookmarkEnd w:id="155"/>
      <w:r w:rsidR="006C2BC8" w:rsidRPr="00C6368C">
        <w:rPr>
          <w:b/>
          <w:sz w:val="28"/>
          <w:szCs w:val="28"/>
          <w:lang w:bidi="ar-SA"/>
        </w:rPr>
        <w:t>to the Australia New Zealand Food Standards Code (</w:t>
      </w:r>
      <w:r w:rsidR="0041690B" w:rsidRPr="00C6368C">
        <w:rPr>
          <w:b/>
          <w:sz w:val="28"/>
          <w:szCs w:val="28"/>
          <w:lang w:bidi="ar-SA"/>
        </w:rPr>
        <w:t>call for submissions</w:t>
      </w:r>
      <w:r w:rsidR="006C2BC8" w:rsidRPr="00C6368C">
        <w:rPr>
          <w:b/>
          <w:sz w:val="28"/>
          <w:szCs w:val="28"/>
          <w:lang w:bidi="ar-SA"/>
        </w:rPr>
        <w:t>)</w:t>
      </w:r>
    </w:p>
    <w:p w14:paraId="4D2801B9" w14:textId="77777777" w:rsidR="006C2BC8" w:rsidRPr="006C2BC8" w:rsidRDefault="006C2BC8" w:rsidP="006C2BC8">
      <w:pPr>
        <w:pBdr>
          <w:bottom w:val="single" w:sz="4" w:space="1" w:color="auto"/>
        </w:pBdr>
        <w:tabs>
          <w:tab w:val="left" w:pos="851"/>
        </w:tabs>
        <w:rPr>
          <w:b/>
          <w:bCs/>
          <w:sz w:val="28"/>
          <w:szCs w:val="28"/>
          <w:lang w:bidi="ar-SA"/>
        </w:rPr>
      </w:pPr>
    </w:p>
    <w:p w14:paraId="58F05276" w14:textId="14D066FD" w:rsidR="00CA3CAF" w:rsidRPr="00CA3CAF" w:rsidRDefault="00CA3CAF" w:rsidP="00CA3CAF">
      <w:pPr>
        <w:rPr>
          <w:noProof/>
          <w:sz w:val="20"/>
          <w:szCs w:val="20"/>
          <w:lang w:val="en-AU" w:eastAsia="en-AU" w:bidi="ar-SA"/>
        </w:rPr>
      </w:pPr>
      <w:r w:rsidRPr="00CA3CAF">
        <w:rPr>
          <w:noProof/>
          <w:sz w:val="20"/>
          <w:szCs w:val="20"/>
          <w:lang w:eastAsia="en-GB" w:bidi="ar-SA"/>
        </w:rPr>
        <w:drawing>
          <wp:inline distT="0" distB="0" distL="0" distR="0" wp14:anchorId="53F4438A" wp14:editId="5CCFF11A">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6985003" w14:textId="77777777" w:rsidR="00CA3CAF" w:rsidRPr="00CA3CAF" w:rsidRDefault="00CA3CAF" w:rsidP="00CA3CAF">
      <w:pPr>
        <w:pBdr>
          <w:bottom w:val="single" w:sz="4" w:space="1" w:color="auto"/>
        </w:pBdr>
        <w:tabs>
          <w:tab w:val="left" w:pos="851"/>
        </w:tabs>
        <w:rPr>
          <w:b/>
          <w:bCs/>
          <w:szCs w:val="20"/>
          <w:lang w:bidi="ar-SA"/>
        </w:rPr>
      </w:pPr>
    </w:p>
    <w:p w14:paraId="6C424014" w14:textId="77777777" w:rsidR="00CA3CAF" w:rsidRPr="00CA3CAF" w:rsidRDefault="00CA3CAF" w:rsidP="00CA3CAF">
      <w:pPr>
        <w:pBdr>
          <w:bottom w:val="single" w:sz="4" w:space="1" w:color="auto"/>
        </w:pBdr>
        <w:tabs>
          <w:tab w:val="left" w:pos="851"/>
        </w:tabs>
        <w:rPr>
          <w:b/>
          <w:sz w:val="20"/>
          <w:szCs w:val="20"/>
          <w:lang w:bidi="ar-SA"/>
        </w:rPr>
      </w:pPr>
      <w:r w:rsidRPr="00CA3CAF">
        <w:rPr>
          <w:b/>
          <w:sz w:val="20"/>
          <w:szCs w:val="20"/>
          <w:lang w:bidi="ar-SA"/>
        </w:rPr>
        <w:t>Food Standards (Application A1127 – Processing Aids in Wine) Variation</w:t>
      </w:r>
    </w:p>
    <w:p w14:paraId="44A139EC" w14:textId="77777777" w:rsidR="00CA3CAF" w:rsidRPr="00CA3CAF" w:rsidRDefault="00CA3CAF" w:rsidP="00CA3CAF">
      <w:pPr>
        <w:pBdr>
          <w:bottom w:val="single" w:sz="4" w:space="1" w:color="auto"/>
        </w:pBdr>
        <w:tabs>
          <w:tab w:val="left" w:pos="851"/>
        </w:tabs>
        <w:rPr>
          <w:b/>
          <w:sz w:val="20"/>
          <w:szCs w:val="20"/>
          <w:lang w:bidi="ar-SA"/>
        </w:rPr>
      </w:pPr>
    </w:p>
    <w:p w14:paraId="7837F9E8" w14:textId="77777777" w:rsidR="00CA3CAF" w:rsidRPr="00CA3CAF" w:rsidRDefault="00CA3CAF" w:rsidP="00CA3CAF">
      <w:pPr>
        <w:tabs>
          <w:tab w:val="left" w:pos="851"/>
        </w:tabs>
        <w:rPr>
          <w:sz w:val="20"/>
          <w:szCs w:val="20"/>
          <w:lang w:bidi="ar-SA"/>
        </w:rPr>
      </w:pPr>
    </w:p>
    <w:p w14:paraId="167B3E0F" w14:textId="77777777" w:rsidR="00CA3CAF" w:rsidRPr="00CA3CAF" w:rsidRDefault="00CA3CAF" w:rsidP="00CA3CAF">
      <w:pPr>
        <w:tabs>
          <w:tab w:val="left" w:pos="851"/>
        </w:tabs>
        <w:rPr>
          <w:sz w:val="20"/>
          <w:szCs w:val="20"/>
          <w:lang w:bidi="ar-SA"/>
        </w:rPr>
      </w:pPr>
      <w:r w:rsidRPr="00CA3CAF">
        <w:rPr>
          <w:sz w:val="20"/>
          <w:szCs w:val="20"/>
          <w:lang w:bidi="ar-SA"/>
        </w:rPr>
        <w:t xml:space="preserve">The Board of Food Standards Australia New Zealand gives notice of the making of this variation under section 92 of the </w:t>
      </w:r>
      <w:r w:rsidRPr="00CA3CAF">
        <w:rPr>
          <w:i/>
          <w:sz w:val="20"/>
          <w:szCs w:val="20"/>
          <w:lang w:bidi="ar-SA"/>
        </w:rPr>
        <w:t>Food Standards Australia New Zealand Act 1991</w:t>
      </w:r>
      <w:r w:rsidRPr="00CA3CAF">
        <w:rPr>
          <w:sz w:val="20"/>
          <w:szCs w:val="20"/>
          <w:lang w:bidi="ar-SA"/>
        </w:rPr>
        <w:t>.  The variation commences on the date specified in clause 3 of this variation.</w:t>
      </w:r>
    </w:p>
    <w:p w14:paraId="110873D5" w14:textId="77777777" w:rsidR="00CA3CAF" w:rsidRPr="00CA3CAF" w:rsidRDefault="00CA3CAF" w:rsidP="00CA3CAF">
      <w:pPr>
        <w:tabs>
          <w:tab w:val="left" w:pos="851"/>
        </w:tabs>
        <w:rPr>
          <w:sz w:val="20"/>
          <w:szCs w:val="20"/>
          <w:lang w:bidi="ar-SA"/>
        </w:rPr>
      </w:pPr>
    </w:p>
    <w:p w14:paraId="0C507691" w14:textId="77777777" w:rsidR="00CA3CAF" w:rsidRPr="00CA3CAF" w:rsidRDefault="00CA3CAF" w:rsidP="00CA3CAF">
      <w:pPr>
        <w:tabs>
          <w:tab w:val="left" w:pos="851"/>
        </w:tabs>
        <w:rPr>
          <w:sz w:val="20"/>
          <w:szCs w:val="20"/>
          <w:lang w:bidi="ar-SA"/>
        </w:rPr>
      </w:pPr>
      <w:r w:rsidRPr="00CA3CAF">
        <w:rPr>
          <w:sz w:val="20"/>
          <w:szCs w:val="20"/>
          <w:lang w:bidi="ar-SA"/>
        </w:rPr>
        <w:t>Dated [To be completed by Standards Management Officer]</w:t>
      </w:r>
    </w:p>
    <w:p w14:paraId="05E15765" w14:textId="77777777" w:rsidR="00CA3CAF" w:rsidRPr="00CA3CAF" w:rsidRDefault="00CA3CAF" w:rsidP="00CA3CAF">
      <w:pPr>
        <w:tabs>
          <w:tab w:val="left" w:pos="851"/>
        </w:tabs>
        <w:rPr>
          <w:sz w:val="20"/>
          <w:szCs w:val="20"/>
          <w:lang w:bidi="ar-SA"/>
        </w:rPr>
      </w:pPr>
    </w:p>
    <w:p w14:paraId="30E27271" w14:textId="77777777" w:rsidR="00CA3CAF" w:rsidRPr="00CA3CAF" w:rsidRDefault="00CA3CAF" w:rsidP="00CA3CAF">
      <w:pPr>
        <w:tabs>
          <w:tab w:val="left" w:pos="851"/>
        </w:tabs>
        <w:rPr>
          <w:sz w:val="20"/>
          <w:szCs w:val="20"/>
          <w:lang w:bidi="ar-SA"/>
        </w:rPr>
      </w:pPr>
    </w:p>
    <w:p w14:paraId="7A4D2E17" w14:textId="77777777" w:rsidR="00CA3CAF" w:rsidRPr="00CA3CAF" w:rsidRDefault="00CA3CAF" w:rsidP="00CA3CAF">
      <w:pPr>
        <w:tabs>
          <w:tab w:val="left" w:pos="851"/>
        </w:tabs>
        <w:rPr>
          <w:sz w:val="20"/>
          <w:szCs w:val="20"/>
          <w:lang w:bidi="ar-SA"/>
        </w:rPr>
      </w:pPr>
    </w:p>
    <w:p w14:paraId="7DEE2EC6" w14:textId="77777777" w:rsidR="00CA3CAF" w:rsidRPr="00CA3CAF" w:rsidRDefault="00CA3CAF" w:rsidP="00CA3CAF">
      <w:pPr>
        <w:tabs>
          <w:tab w:val="left" w:pos="851"/>
        </w:tabs>
        <w:rPr>
          <w:sz w:val="20"/>
          <w:szCs w:val="20"/>
          <w:lang w:bidi="ar-SA"/>
        </w:rPr>
      </w:pPr>
    </w:p>
    <w:p w14:paraId="35855D0A" w14:textId="77777777" w:rsidR="00CA3CAF" w:rsidRPr="00CA3CAF" w:rsidRDefault="00CA3CAF" w:rsidP="00CA3CAF">
      <w:pPr>
        <w:tabs>
          <w:tab w:val="left" w:pos="851"/>
        </w:tabs>
        <w:rPr>
          <w:sz w:val="20"/>
          <w:szCs w:val="20"/>
          <w:lang w:bidi="ar-SA"/>
        </w:rPr>
      </w:pPr>
    </w:p>
    <w:p w14:paraId="584F0CE4" w14:textId="77777777" w:rsidR="00CA3CAF" w:rsidRPr="00CA3CAF" w:rsidRDefault="00CA3CAF" w:rsidP="00CA3CAF">
      <w:pPr>
        <w:tabs>
          <w:tab w:val="left" w:pos="851"/>
        </w:tabs>
        <w:rPr>
          <w:sz w:val="20"/>
          <w:szCs w:val="20"/>
          <w:lang w:bidi="ar-SA"/>
        </w:rPr>
      </w:pPr>
      <w:r w:rsidRPr="00CA3CAF">
        <w:rPr>
          <w:sz w:val="20"/>
          <w:szCs w:val="20"/>
          <w:lang w:bidi="ar-SA"/>
        </w:rPr>
        <w:t>Standards Management Officer</w:t>
      </w:r>
    </w:p>
    <w:p w14:paraId="6BAE72DF" w14:textId="77777777" w:rsidR="00CA3CAF" w:rsidRPr="00CA3CAF" w:rsidRDefault="00CA3CAF" w:rsidP="00CA3CAF">
      <w:pPr>
        <w:tabs>
          <w:tab w:val="left" w:pos="851"/>
        </w:tabs>
        <w:rPr>
          <w:sz w:val="20"/>
          <w:szCs w:val="20"/>
          <w:lang w:bidi="ar-SA"/>
        </w:rPr>
      </w:pPr>
      <w:r w:rsidRPr="00CA3CAF">
        <w:rPr>
          <w:sz w:val="20"/>
          <w:szCs w:val="20"/>
          <w:lang w:bidi="ar-SA"/>
        </w:rPr>
        <w:t>Delegate of the Board of Food Standards Australia New Zealand</w:t>
      </w:r>
    </w:p>
    <w:p w14:paraId="1E79D25E" w14:textId="77777777" w:rsidR="00CA3CAF" w:rsidRPr="00CA3CAF" w:rsidRDefault="00CA3CAF" w:rsidP="00CA3CAF">
      <w:pPr>
        <w:tabs>
          <w:tab w:val="left" w:pos="851"/>
        </w:tabs>
        <w:rPr>
          <w:sz w:val="20"/>
          <w:szCs w:val="20"/>
          <w:lang w:bidi="ar-SA"/>
        </w:rPr>
      </w:pPr>
    </w:p>
    <w:p w14:paraId="428835A4" w14:textId="77777777" w:rsidR="00CA3CAF" w:rsidRPr="00CA3CAF" w:rsidRDefault="00CA3CAF" w:rsidP="00CA3CAF">
      <w:pPr>
        <w:tabs>
          <w:tab w:val="left" w:pos="851"/>
        </w:tabs>
        <w:rPr>
          <w:sz w:val="20"/>
          <w:szCs w:val="20"/>
          <w:lang w:bidi="ar-SA"/>
        </w:rPr>
      </w:pPr>
    </w:p>
    <w:p w14:paraId="7E7EB814" w14:textId="77777777" w:rsidR="00CA3CAF" w:rsidRPr="00CA3CAF" w:rsidRDefault="00CA3CAF" w:rsidP="00CA3CAF">
      <w:pPr>
        <w:tabs>
          <w:tab w:val="left" w:pos="851"/>
        </w:tabs>
        <w:rPr>
          <w:sz w:val="20"/>
          <w:szCs w:val="20"/>
          <w:lang w:bidi="ar-SA"/>
        </w:rPr>
      </w:pPr>
    </w:p>
    <w:p w14:paraId="5E68DFDC" w14:textId="77777777" w:rsidR="00CA3CAF" w:rsidRPr="00CA3CAF" w:rsidRDefault="00CA3CAF" w:rsidP="00CA3CAF">
      <w:pPr>
        <w:tabs>
          <w:tab w:val="left" w:pos="851"/>
        </w:tabs>
        <w:rPr>
          <w:sz w:val="20"/>
          <w:szCs w:val="20"/>
          <w:lang w:bidi="ar-SA"/>
        </w:rPr>
      </w:pPr>
    </w:p>
    <w:p w14:paraId="7860D9DA" w14:textId="77777777" w:rsidR="00CA3CAF" w:rsidRPr="00CA3CAF" w:rsidRDefault="00CA3CAF" w:rsidP="00CA3CAF">
      <w:pPr>
        <w:tabs>
          <w:tab w:val="left" w:pos="851"/>
        </w:tabs>
        <w:rPr>
          <w:sz w:val="20"/>
          <w:szCs w:val="20"/>
          <w:lang w:bidi="ar-SA"/>
        </w:rPr>
      </w:pPr>
    </w:p>
    <w:p w14:paraId="369285B8" w14:textId="2183F53A" w:rsidR="00CA3CAF" w:rsidRPr="00CA3CAF" w:rsidRDefault="00CA3CAF" w:rsidP="00CA3CA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CA3CAF">
        <w:rPr>
          <w:b/>
          <w:sz w:val="20"/>
          <w:szCs w:val="20"/>
          <w:lang w:val="en-AU" w:bidi="ar-SA"/>
        </w:rPr>
        <w:t>Note:</w:t>
      </w:r>
    </w:p>
    <w:p w14:paraId="2E20B1B2" w14:textId="77777777" w:rsidR="00CA3CAF" w:rsidRPr="00CA3CAF" w:rsidRDefault="00CA3CAF" w:rsidP="00CA3CA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374DC8F0" w14:textId="77777777" w:rsidR="00CA3CAF" w:rsidRPr="00CA3CAF" w:rsidRDefault="00CA3CAF" w:rsidP="00CA3CA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CA3CAF">
        <w:rPr>
          <w:sz w:val="20"/>
          <w:szCs w:val="20"/>
          <w:lang w:val="en-AU" w:bidi="ar-SA"/>
        </w:rPr>
        <w:t xml:space="preserve">This variation will be published in the Commonwealth of Australia Gazette No. </w:t>
      </w:r>
      <w:proofErr w:type="gramStart"/>
      <w:r w:rsidRPr="00CA3CAF">
        <w:rPr>
          <w:sz w:val="20"/>
          <w:szCs w:val="20"/>
          <w:lang w:val="en-AU" w:bidi="ar-SA"/>
        </w:rPr>
        <w:t xml:space="preserve">FSC </w:t>
      </w:r>
      <w:r w:rsidRPr="00CA3CAF">
        <w:rPr>
          <w:color w:val="FF0000"/>
          <w:sz w:val="20"/>
          <w:szCs w:val="20"/>
          <w:lang w:val="en-AU" w:bidi="ar-SA"/>
        </w:rPr>
        <w:t>XX on XX Month 20XX</w:t>
      </w:r>
      <w:r w:rsidRPr="00CA3CAF">
        <w:rPr>
          <w:sz w:val="20"/>
          <w:szCs w:val="20"/>
          <w:lang w:val="en-AU" w:bidi="ar-SA"/>
        </w:rPr>
        <w:t>.</w:t>
      </w:r>
      <w:proofErr w:type="gramEnd"/>
      <w:r w:rsidRPr="00CA3CAF">
        <w:rPr>
          <w:sz w:val="20"/>
          <w:szCs w:val="20"/>
          <w:lang w:val="en-AU" w:bidi="ar-SA"/>
        </w:rPr>
        <w:t xml:space="preserve"> This means that this date is the gazettal date for the purposes of clause 3 of the variation. </w:t>
      </w:r>
    </w:p>
    <w:p w14:paraId="3E227FC5" w14:textId="77777777" w:rsidR="00CA3CAF" w:rsidRPr="00CA3CAF" w:rsidRDefault="00CA3CAF" w:rsidP="00CA3CAF">
      <w:pPr>
        <w:tabs>
          <w:tab w:val="left" w:pos="851"/>
        </w:tabs>
        <w:rPr>
          <w:sz w:val="20"/>
          <w:szCs w:val="20"/>
          <w:lang w:bidi="ar-SA"/>
        </w:rPr>
      </w:pPr>
    </w:p>
    <w:p w14:paraId="4C8C8793" w14:textId="77777777" w:rsidR="00CA3CAF" w:rsidRPr="00CA3CAF" w:rsidRDefault="00CA3CAF" w:rsidP="00CA3CAF">
      <w:pPr>
        <w:widowControl/>
        <w:rPr>
          <w:sz w:val="20"/>
          <w:szCs w:val="20"/>
          <w:lang w:bidi="ar-SA"/>
        </w:rPr>
      </w:pPr>
      <w:r w:rsidRPr="00CA3CAF">
        <w:rPr>
          <w:sz w:val="20"/>
          <w:szCs w:val="20"/>
          <w:lang w:bidi="ar-SA"/>
        </w:rPr>
        <w:br w:type="page"/>
      </w:r>
    </w:p>
    <w:p w14:paraId="4639F888" w14:textId="77777777" w:rsidR="00CA3CAF" w:rsidRPr="00CA3CAF" w:rsidRDefault="00CA3CAF" w:rsidP="00CA3CAF">
      <w:pPr>
        <w:spacing w:before="120" w:after="120"/>
        <w:ind w:left="851" w:hanging="851"/>
        <w:rPr>
          <w:b/>
          <w:sz w:val="20"/>
          <w:szCs w:val="20"/>
          <w:lang w:bidi="ar-SA"/>
        </w:rPr>
      </w:pPr>
      <w:r w:rsidRPr="00CA3CAF">
        <w:rPr>
          <w:b/>
          <w:sz w:val="20"/>
          <w:szCs w:val="20"/>
          <w:lang w:bidi="ar-SA"/>
        </w:rPr>
        <w:lastRenderedPageBreak/>
        <w:t>1</w:t>
      </w:r>
      <w:r w:rsidRPr="00CA3CAF">
        <w:rPr>
          <w:b/>
          <w:sz w:val="20"/>
          <w:szCs w:val="20"/>
          <w:lang w:bidi="ar-SA"/>
        </w:rPr>
        <w:tab/>
        <w:t>Name</w:t>
      </w:r>
    </w:p>
    <w:p w14:paraId="390042FD" w14:textId="77777777" w:rsidR="00CA3CAF" w:rsidRPr="00CA3CAF" w:rsidRDefault="00CA3CAF" w:rsidP="00CA3CAF">
      <w:pPr>
        <w:widowControl/>
        <w:tabs>
          <w:tab w:val="left" w:pos="851"/>
        </w:tabs>
        <w:spacing w:before="120" w:after="120"/>
        <w:rPr>
          <w:sz w:val="20"/>
          <w:szCs w:val="20"/>
          <w:lang w:bidi="ar-SA"/>
        </w:rPr>
      </w:pPr>
      <w:r w:rsidRPr="00CA3CAF">
        <w:rPr>
          <w:sz w:val="20"/>
          <w:szCs w:val="20"/>
          <w:lang w:bidi="ar-SA"/>
        </w:rPr>
        <w:t xml:space="preserve">This instrument is the </w:t>
      </w:r>
      <w:r w:rsidRPr="00CA3CAF">
        <w:rPr>
          <w:i/>
          <w:sz w:val="20"/>
          <w:szCs w:val="20"/>
          <w:lang w:bidi="ar-SA"/>
        </w:rPr>
        <w:t>Food Standards (Application A1127 –</w:t>
      </w:r>
      <w:r w:rsidRPr="00CA3CAF">
        <w:rPr>
          <w:b/>
          <w:sz w:val="20"/>
          <w:szCs w:val="20"/>
          <w:lang w:bidi="ar-SA"/>
        </w:rPr>
        <w:t xml:space="preserve"> </w:t>
      </w:r>
      <w:r w:rsidRPr="00CA3CAF">
        <w:rPr>
          <w:i/>
          <w:sz w:val="20"/>
          <w:szCs w:val="20"/>
          <w:lang w:bidi="ar-SA"/>
        </w:rPr>
        <w:t>Processing Aids in Wine) Variation</w:t>
      </w:r>
      <w:r w:rsidRPr="00CA3CAF">
        <w:rPr>
          <w:sz w:val="20"/>
          <w:szCs w:val="20"/>
          <w:lang w:bidi="ar-SA"/>
        </w:rPr>
        <w:t>.</w:t>
      </w:r>
    </w:p>
    <w:p w14:paraId="5A16A59F" w14:textId="77777777" w:rsidR="00CA3CAF" w:rsidRPr="00CA3CAF" w:rsidRDefault="00CA3CAF" w:rsidP="00CA3CAF">
      <w:pPr>
        <w:spacing w:before="120" w:after="120"/>
        <w:ind w:left="851" w:hanging="851"/>
        <w:rPr>
          <w:b/>
          <w:sz w:val="20"/>
          <w:szCs w:val="20"/>
          <w:lang w:bidi="ar-SA"/>
        </w:rPr>
      </w:pPr>
      <w:r w:rsidRPr="00CA3CAF">
        <w:rPr>
          <w:b/>
          <w:sz w:val="20"/>
          <w:szCs w:val="20"/>
          <w:lang w:bidi="ar-SA"/>
        </w:rPr>
        <w:t>2</w:t>
      </w:r>
      <w:r w:rsidRPr="00CA3CAF">
        <w:rPr>
          <w:b/>
          <w:sz w:val="20"/>
          <w:szCs w:val="20"/>
          <w:lang w:bidi="ar-SA"/>
        </w:rPr>
        <w:tab/>
        <w:t xml:space="preserve">Variation to standards in the </w:t>
      </w:r>
      <w:r w:rsidRPr="00CA3CAF">
        <w:rPr>
          <w:b/>
          <w:i/>
          <w:sz w:val="20"/>
          <w:szCs w:val="20"/>
          <w:lang w:bidi="ar-SA"/>
        </w:rPr>
        <w:t>Australia New Zealand Food Standards Code</w:t>
      </w:r>
    </w:p>
    <w:p w14:paraId="31DCAA11" w14:textId="77777777" w:rsidR="00CA3CAF" w:rsidRPr="00CA3CAF" w:rsidRDefault="00CA3CAF" w:rsidP="00CA3CAF">
      <w:pPr>
        <w:widowControl/>
        <w:tabs>
          <w:tab w:val="left" w:pos="851"/>
        </w:tabs>
        <w:spacing w:before="120" w:after="120"/>
        <w:rPr>
          <w:sz w:val="20"/>
          <w:szCs w:val="20"/>
          <w:lang w:bidi="ar-SA"/>
        </w:rPr>
      </w:pPr>
      <w:r w:rsidRPr="00CA3CAF">
        <w:rPr>
          <w:sz w:val="20"/>
          <w:szCs w:val="20"/>
          <w:lang w:bidi="ar-SA"/>
        </w:rPr>
        <w:t xml:space="preserve">The Schedule varies Standards in the </w:t>
      </w:r>
      <w:r w:rsidRPr="00CA3CAF">
        <w:rPr>
          <w:i/>
          <w:sz w:val="20"/>
          <w:szCs w:val="20"/>
          <w:lang w:bidi="ar-SA"/>
        </w:rPr>
        <w:t>Australia New Zealand Food Standards Code</w:t>
      </w:r>
      <w:r w:rsidRPr="00CA3CAF">
        <w:rPr>
          <w:sz w:val="20"/>
          <w:szCs w:val="20"/>
          <w:lang w:bidi="ar-SA"/>
        </w:rPr>
        <w:t>.</w:t>
      </w:r>
    </w:p>
    <w:p w14:paraId="797517D4" w14:textId="77777777" w:rsidR="00CA3CAF" w:rsidRPr="00CA3CAF" w:rsidRDefault="00CA3CAF" w:rsidP="00CA3CAF">
      <w:pPr>
        <w:spacing w:before="120" w:after="120"/>
        <w:ind w:left="851" w:hanging="851"/>
        <w:rPr>
          <w:b/>
          <w:sz w:val="20"/>
          <w:szCs w:val="20"/>
          <w:lang w:bidi="ar-SA"/>
        </w:rPr>
      </w:pPr>
      <w:r w:rsidRPr="00CA3CAF">
        <w:rPr>
          <w:b/>
          <w:sz w:val="20"/>
          <w:szCs w:val="20"/>
          <w:lang w:bidi="ar-SA"/>
        </w:rPr>
        <w:t>3</w:t>
      </w:r>
      <w:r w:rsidRPr="00CA3CAF">
        <w:rPr>
          <w:b/>
          <w:sz w:val="20"/>
          <w:szCs w:val="20"/>
          <w:lang w:bidi="ar-SA"/>
        </w:rPr>
        <w:tab/>
        <w:t>Commencement</w:t>
      </w:r>
    </w:p>
    <w:p w14:paraId="1C200F10" w14:textId="77777777" w:rsidR="00CA3CAF" w:rsidRPr="00CA3CAF" w:rsidRDefault="00CA3CAF" w:rsidP="00CA3CAF">
      <w:pPr>
        <w:widowControl/>
        <w:tabs>
          <w:tab w:val="left" w:pos="851"/>
        </w:tabs>
        <w:spacing w:before="120" w:after="120"/>
        <w:rPr>
          <w:sz w:val="20"/>
          <w:szCs w:val="20"/>
          <w:lang w:bidi="ar-SA"/>
        </w:rPr>
      </w:pPr>
      <w:r w:rsidRPr="00CA3CAF">
        <w:rPr>
          <w:sz w:val="20"/>
          <w:szCs w:val="20"/>
          <w:lang w:bidi="ar-SA"/>
        </w:rPr>
        <w:t>The variation commences on the date of gazettal.</w:t>
      </w:r>
    </w:p>
    <w:p w14:paraId="14EE93C9" w14:textId="77777777" w:rsidR="00CA3CAF" w:rsidRPr="00CA3CAF" w:rsidRDefault="00CA3CAF" w:rsidP="00CA3CAF">
      <w:pPr>
        <w:tabs>
          <w:tab w:val="left" w:pos="851"/>
        </w:tabs>
        <w:jc w:val="center"/>
        <w:rPr>
          <w:b/>
          <w:sz w:val="20"/>
          <w:szCs w:val="20"/>
          <w:lang w:bidi="ar-SA"/>
        </w:rPr>
      </w:pPr>
      <w:r w:rsidRPr="00CA3CAF">
        <w:rPr>
          <w:b/>
          <w:sz w:val="20"/>
          <w:szCs w:val="20"/>
          <w:lang w:bidi="ar-SA"/>
        </w:rPr>
        <w:t>Schedule</w:t>
      </w:r>
    </w:p>
    <w:p w14:paraId="1FA837A0" w14:textId="77777777" w:rsidR="00CA3CAF" w:rsidRPr="00CA3CAF" w:rsidRDefault="00CA3CAF" w:rsidP="00CA3CAF">
      <w:pPr>
        <w:tabs>
          <w:tab w:val="left" w:pos="851"/>
        </w:tabs>
        <w:spacing w:before="120" w:after="120"/>
        <w:rPr>
          <w:sz w:val="20"/>
          <w:szCs w:val="20"/>
          <w:lang w:bidi="ar-SA"/>
        </w:rPr>
      </w:pPr>
      <w:r w:rsidRPr="00CA3CAF">
        <w:rPr>
          <w:b/>
          <w:sz w:val="20"/>
          <w:szCs w:val="20"/>
        </w:rPr>
        <w:t>[</w:t>
      </w:r>
      <w:r w:rsidRPr="00CA3CAF">
        <w:rPr>
          <w:b/>
          <w:sz w:val="20"/>
          <w:szCs w:val="20"/>
          <w:lang w:bidi="ar-SA"/>
        </w:rPr>
        <w:t>[1]</w:t>
      </w:r>
      <w:r w:rsidRPr="00CA3CAF">
        <w:rPr>
          <w:b/>
          <w:sz w:val="20"/>
          <w:szCs w:val="20"/>
          <w:lang w:bidi="ar-SA"/>
        </w:rPr>
        <w:tab/>
        <w:t xml:space="preserve">Standard 4.5.1 </w:t>
      </w:r>
      <w:r w:rsidRPr="00CA3CAF">
        <w:rPr>
          <w:sz w:val="20"/>
          <w:szCs w:val="20"/>
          <w:lang w:bidi="ar-SA"/>
        </w:rPr>
        <w:t>is varied by inserting each of the following into the Table to clause 4, in alphabetical order</w:t>
      </w:r>
    </w:p>
    <w:tbl>
      <w:tblPr>
        <w:tblStyle w:val="TableGrid3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processing aids to be listed into the Table to clause 4, in alphabetical order at CFS"/>
      </w:tblPr>
      <w:tblGrid>
        <w:gridCol w:w="5102"/>
      </w:tblGrid>
      <w:tr w:rsidR="00CA3CAF" w:rsidRPr="00CA3CAF" w14:paraId="7F3D1D52" w14:textId="77777777" w:rsidTr="000E30B3">
        <w:trPr>
          <w:trHeight w:val="238"/>
          <w:tblHeader/>
          <w:jc w:val="center"/>
        </w:trPr>
        <w:tc>
          <w:tcPr>
            <w:tcW w:w="5102" w:type="dxa"/>
          </w:tcPr>
          <w:p w14:paraId="136AB20B" w14:textId="77777777" w:rsidR="00CA3CAF" w:rsidRPr="00CA3CAF" w:rsidRDefault="00CA3CAF" w:rsidP="00673965">
            <w:pPr>
              <w:pStyle w:val="Table2"/>
              <w:rPr>
                <w:lang w:bidi="ar-SA"/>
              </w:rPr>
            </w:pPr>
            <w:r w:rsidRPr="00CA3CAF">
              <w:rPr>
                <w:lang w:bidi="ar-SA"/>
              </w:rPr>
              <w:t>Ammonium bisulphite</w:t>
            </w:r>
          </w:p>
        </w:tc>
      </w:tr>
      <w:tr w:rsidR="00CA3CAF" w:rsidRPr="00CA3CAF" w14:paraId="5978503B" w14:textId="77777777" w:rsidTr="000E30B3">
        <w:trPr>
          <w:tblHeader/>
          <w:jc w:val="center"/>
        </w:trPr>
        <w:tc>
          <w:tcPr>
            <w:tcW w:w="5102" w:type="dxa"/>
          </w:tcPr>
          <w:p w14:paraId="669ABE02" w14:textId="77777777" w:rsidR="00CA3CAF" w:rsidRPr="00CA3CAF" w:rsidRDefault="00CA3CAF" w:rsidP="00673965">
            <w:pPr>
              <w:pStyle w:val="Table2"/>
              <w:rPr>
                <w:lang w:bidi="ar-SA"/>
              </w:rPr>
            </w:pPr>
            <w:r w:rsidRPr="00CA3CAF">
              <w:rPr>
                <w:lang w:bidi="ar-SA"/>
              </w:rPr>
              <w:t>Chitin-glucan</w:t>
            </w:r>
          </w:p>
        </w:tc>
      </w:tr>
      <w:tr w:rsidR="00CA3CAF" w:rsidRPr="00CA3CAF" w14:paraId="6E327BAD" w14:textId="77777777" w:rsidTr="000E30B3">
        <w:trPr>
          <w:tblHeader/>
          <w:jc w:val="center"/>
        </w:trPr>
        <w:tc>
          <w:tcPr>
            <w:tcW w:w="5102" w:type="dxa"/>
          </w:tcPr>
          <w:p w14:paraId="77AACAC9" w14:textId="77777777" w:rsidR="00CA3CAF" w:rsidRPr="00CA3CAF" w:rsidRDefault="00CA3CAF" w:rsidP="00673965">
            <w:pPr>
              <w:pStyle w:val="Table2"/>
              <w:rPr>
                <w:rFonts w:cs="Arial"/>
                <w:iCs/>
                <w:lang w:bidi="ar-SA"/>
              </w:rPr>
            </w:pPr>
            <w:r w:rsidRPr="00CA3CAF">
              <w:rPr>
                <w:lang w:bidi="ar-SA"/>
              </w:rPr>
              <w:t>Polyvinylimidazole–polyvinylpyrrolidone co-polymers</w:t>
            </w:r>
          </w:p>
        </w:tc>
      </w:tr>
      <w:tr w:rsidR="00CA3CAF" w:rsidRPr="00CA3CAF" w14:paraId="4B125BAA" w14:textId="77777777" w:rsidTr="000E30B3">
        <w:trPr>
          <w:trHeight w:val="63"/>
          <w:tblHeader/>
          <w:jc w:val="center"/>
        </w:trPr>
        <w:tc>
          <w:tcPr>
            <w:tcW w:w="5102" w:type="dxa"/>
          </w:tcPr>
          <w:p w14:paraId="21BF8307" w14:textId="3FD96680" w:rsidR="00CA3CAF" w:rsidRPr="00CA3CAF" w:rsidRDefault="00CA3CAF" w:rsidP="00673965">
            <w:pPr>
              <w:pStyle w:val="Table2"/>
              <w:rPr>
                <w:rFonts w:cs="Arial"/>
                <w:iCs/>
                <w:lang w:bidi="ar-SA"/>
              </w:rPr>
            </w:pPr>
            <w:r w:rsidRPr="00CA3CAF">
              <w:rPr>
                <w:lang w:bidi="ar-SA"/>
              </w:rPr>
              <w:t>Silver chloride</w:t>
            </w:r>
          </w:p>
        </w:tc>
      </w:tr>
    </w:tbl>
    <w:p w14:paraId="1A536479" w14:textId="77777777" w:rsidR="00CA3CAF" w:rsidRPr="00CA3CAF" w:rsidRDefault="00CA3CAF" w:rsidP="00CA3CAF">
      <w:pPr>
        <w:widowControl/>
        <w:tabs>
          <w:tab w:val="left" w:pos="851"/>
        </w:tabs>
        <w:spacing w:before="120" w:after="120"/>
        <w:rPr>
          <w:sz w:val="20"/>
          <w:szCs w:val="20"/>
          <w:lang w:bidi="ar-SA"/>
        </w:rPr>
      </w:pPr>
      <w:r w:rsidRPr="00CA3CAF">
        <w:rPr>
          <w:b/>
          <w:sz w:val="20"/>
          <w:szCs w:val="20"/>
          <w:lang w:bidi="ar-SA"/>
        </w:rPr>
        <w:t>[2]</w:t>
      </w:r>
      <w:r w:rsidRPr="00CA3CAF">
        <w:rPr>
          <w:b/>
          <w:sz w:val="20"/>
          <w:szCs w:val="20"/>
          <w:lang w:bidi="ar-SA"/>
        </w:rPr>
        <w:tab/>
        <w:t>Schedule 18</w:t>
      </w:r>
      <w:r w:rsidRPr="00CA3CAF">
        <w:rPr>
          <w:sz w:val="20"/>
          <w:szCs w:val="20"/>
          <w:lang w:bidi="ar-SA"/>
        </w:rPr>
        <w:t xml:space="preserve"> is varied by inserting each of the following into the table to subsection S18—9(3),</w:t>
      </w:r>
      <w:r w:rsidRPr="00CA3CAF">
        <w:rPr>
          <w:b/>
          <w:sz w:val="20"/>
          <w:szCs w:val="20"/>
          <w:lang w:bidi="ar-SA"/>
        </w:rPr>
        <w:t xml:space="preserve"> </w:t>
      </w:r>
      <w:r w:rsidRPr="00CA3CAF">
        <w:rPr>
          <w:sz w:val="20"/>
          <w:szCs w:val="20"/>
          <w:lang w:bidi="ar-SA"/>
        </w:rPr>
        <w:t>in alphabetical order</w:t>
      </w:r>
    </w:p>
    <w:tbl>
      <w:tblPr>
        <w:tblStyle w:val="TableGrid4"/>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cessing aids to be listed into the table to subsection S18—9(3), in alphabetical order at CFS"/>
      </w:tblPr>
      <w:tblGrid>
        <w:gridCol w:w="3120"/>
        <w:gridCol w:w="3603"/>
        <w:gridCol w:w="2349"/>
      </w:tblGrid>
      <w:tr w:rsidR="00CA3CAF" w:rsidRPr="00CA3CAF" w14:paraId="486864D5" w14:textId="77777777" w:rsidTr="000E30B3">
        <w:trPr>
          <w:tblHeader/>
          <w:jc w:val="center"/>
        </w:trPr>
        <w:tc>
          <w:tcPr>
            <w:tcW w:w="3120" w:type="dxa"/>
          </w:tcPr>
          <w:p w14:paraId="0C423606" w14:textId="77777777" w:rsidR="00CA3CAF" w:rsidRPr="00CA3CAF" w:rsidRDefault="00CA3CAF" w:rsidP="00673965">
            <w:pPr>
              <w:pStyle w:val="FSCtblMain"/>
              <w:rPr>
                <w:iCs/>
              </w:rPr>
            </w:pPr>
            <w:r w:rsidRPr="00CA3CAF">
              <w:t>Ammonium bisulphite</w:t>
            </w:r>
          </w:p>
        </w:tc>
        <w:tc>
          <w:tcPr>
            <w:tcW w:w="3603" w:type="dxa"/>
          </w:tcPr>
          <w:p w14:paraId="631F4344" w14:textId="097D00E4" w:rsidR="00CA3CAF" w:rsidRPr="00CA3CAF" w:rsidRDefault="00CA3CAF" w:rsidP="00673965">
            <w:pPr>
              <w:pStyle w:val="FSCtblMain"/>
            </w:pPr>
            <w:r w:rsidRPr="00CA3CAF">
              <w:t>For use in the manufacture of wine as a microbial nutrient and microbial nutrient adjunct.</w:t>
            </w:r>
          </w:p>
        </w:tc>
        <w:tc>
          <w:tcPr>
            <w:tcW w:w="2349" w:type="dxa"/>
          </w:tcPr>
          <w:p w14:paraId="416485A8" w14:textId="77777777" w:rsidR="00CA3CAF" w:rsidRPr="00CA3CAF" w:rsidRDefault="00CA3CAF" w:rsidP="00673965">
            <w:pPr>
              <w:pStyle w:val="FSCtblMain"/>
            </w:pPr>
            <w:r w:rsidRPr="00CA3CAF">
              <w:t>GMP</w:t>
            </w:r>
          </w:p>
        </w:tc>
      </w:tr>
      <w:tr w:rsidR="00CA3CAF" w:rsidRPr="00CA3CAF" w14:paraId="06F04F99" w14:textId="77777777" w:rsidTr="000E30B3">
        <w:trPr>
          <w:tblHeader/>
          <w:jc w:val="center"/>
        </w:trPr>
        <w:tc>
          <w:tcPr>
            <w:tcW w:w="3120" w:type="dxa"/>
          </w:tcPr>
          <w:p w14:paraId="67F1214F" w14:textId="77777777" w:rsidR="00CA3CAF" w:rsidRPr="00CA3CAF" w:rsidRDefault="00CA3CAF" w:rsidP="00673965">
            <w:pPr>
              <w:pStyle w:val="FSCtblMain"/>
            </w:pPr>
            <w:r w:rsidRPr="00CA3CAF">
              <w:t>Chitin-glucan</w:t>
            </w:r>
          </w:p>
        </w:tc>
        <w:tc>
          <w:tcPr>
            <w:tcW w:w="3603" w:type="dxa"/>
          </w:tcPr>
          <w:p w14:paraId="2897BD0D" w14:textId="1B97EE1E" w:rsidR="00CA3CAF" w:rsidRPr="00CA3CAF" w:rsidRDefault="00CA3CAF" w:rsidP="00673965">
            <w:pPr>
              <w:pStyle w:val="FSCtblMain"/>
              <w:rPr>
                <w:iCs/>
              </w:rPr>
            </w:pPr>
            <w:r w:rsidRPr="00CA3CAF">
              <w:t>For use in the manufacture of wine as a decolourant, clarifying, filtration and absorbent agent.</w:t>
            </w:r>
          </w:p>
        </w:tc>
        <w:tc>
          <w:tcPr>
            <w:tcW w:w="2349" w:type="dxa"/>
          </w:tcPr>
          <w:p w14:paraId="603C5E08" w14:textId="77777777" w:rsidR="00CA3CAF" w:rsidRPr="00CA3CAF" w:rsidRDefault="00CA3CAF" w:rsidP="00673965">
            <w:pPr>
              <w:pStyle w:val="FSCtblMain"/>
              <w:rPr>
                <w:iCs/>
              </w:rPr>
            </w:pPr>
            <w:r w:rsidRPr="00CA3CAF">
              <w:t>GMP</w:t>
            </w:r>
          </w:p>
        </w:tc>
      </w:tr>
      <w:tr w:rsidR="00CA3CAF" w:rsidRPr="00CA3CAF" w14:paraId="061C7AB3" w14:textId="77777777" w:rsidTr="000E30B3">
        <w:trPr>
          <w:tblHeader/>
          <w:jc w:val="center"/>
        </w:trPr>
        <w:tc>
          <w:tcPr>
            <w:tcW w:w="3120" w:type="dxa"/>
          </w:tcPr>
          <w:p w14:paraId="4C2A4945" w14:textId="77777777" w:rsidR="00CA3CAF" w:rsidRPr="00CA3CAF" w:rsidRDefault="00CA3CAF" w:rsidP="00673965">
            <w:pPr>
              <w:pStyle w:val="FSCtblMain"/>
              <w:rPr>
                <w:iCs/>
              </w:rPr>
            </w:pPr>
            <w:r w:rsidRPr="00CA3CAF">
              <w:t>Polyvinylimidazole–polyvinylpyrrolidone co-polymers</w:t>
            </w:r>
          </w:p>
        </w:tc>
        <w:tc>
          <w:tcPr>
            <w:tcW w:w="3603" w:type="dxa"/>
          </w:tcPr>
          <w:p w14:paraId="0D49A7BF" w14:textId="2E96ACB9" w:rsidR="00CA3CAF" w:rsidRPr="00CA3CAF" w:rsidRDefault="00CA3CAF" w:rsidP="00673965">
            <w:pPr>
              <w:pStyle w:val="FSCtblMain"/>
              <w:rPr>
                <w:iCs/>
              </w:rPr>
            </w:pPr>
            <w:r w:rsidRPr="00CA3CAF">
              <w:t>For use in the manufacture of wine as a decolourant, clarifying, filtration and absorbent agent.</w:t>
            </w:r>
          </w:p>
        </w:tc>
        <w:tc>
          <w:tcPr>
            <w:tcW w:w="2349" w:type="dxa"/>
          </w:tcPr>
          <w:p w14:paraId="5DB50F65" w14:textId="77777777" w:rsidR="00CA3CAF" w:rsidRPr="00CA3CAF" w:rsidRDefault="00CA3CAF" w:rsidP="00673965">
            <w:pPr>
              <w:pStyle w:val="FSCtblMain"/>
              <w:rPr>
                <w:iCs/>
              </w:rPr>
            </w:pPr>
            <w:r w:rsidRPr="00CA3CAF">
              <w:t>GMP</w:t>
            </w:r>
          </w:p>
        </w:tc>
      </w:tr>
      <w:tr w:rsidR="00CA3CAF" w:rsidRPr="00CA3CAF" w14:paraId="5F086EB5" w14:textId="77777777" w:rsidTr="000E30B3">
        <w:trPr>
          <w:trHeight w:val="63"/>
          <w:tblHeader/>
          <w:jc w:val="center"/>
        </w:trPr>
        <w:tc>
          <w:tcPr>
            <w:tcW w:w="3120" w:type="dxa"/>
          </w:tcPr>
          <w:p w14:paraId="0D9BD2D0" w14:textId="52C01E5A" w:rsidR="00CA3CAF" w:rsidRPr="00CA3CAF" w:rsidRDefault="00CA3CAF" w:rsidP="00673965">
            <w:pPr>
              <w:pStyle w:val="FSCtblMain"/>
              <w:rPr>
                <w:iCs/>
              </w:rPr>
            </w:pPr>
            <w:r w:rsidRPr="00CA3CAF">
              <w:t>Silver chloride</w:t>
            </w:r>
          </w:p>
        </w:tc>
        <w:tc>
          <w:tcPr>
            <w:tcW w:w="3603" w:type="dxa"/>
          </w:tcPr>
          <w:p w14:paraId="2DF3285E" w14:textId="656CF50B" w:rsidR="00CA3CAF" w:rsidRPr="00CA3CAF" w:rsidRDefault="00CA3CAF" w:rsidP="00673965">
            <w:pPr>
              <w:pStyle w:val="FSCtblMain"/>
              <w:rPr>
                <w:iCs/>
              </w:rPr>
            </w:pPr>
            <w:r w:rsidRPr="00CA3CAF">
              <w:t>For use in the manufacture of wine to remove fermentation and storage-related odours.</w:t>
            </w:r>
          </w:p>
        </w:tc>
        <w:tc>
          <w:tcPr>
            <w:tcW w:w="2349" w:type="dxa"/>
          </w:tcPr>
          <w:p w14:paraId="64605777" w14:textId="22BB2ABB" w:rsidR="00CA3CAF" w:rsidRPr="00CA3CAF" w:rsidRDefault="00CA3CAF" w:rsidP="00673965">
            <w:pPr>
              <w:pStyle w:val="FSCtblMain"/>
              <w:rPr>
                <w:iCs/>
              </w:rPr>
            </w:pPr>
            <w:r w:rsidRPr="00CA3CAF">
              <w:t>GMP</w:t>
            </w:r>
          </w:p>
        </w:tc>
      </w:tr>
    </w:tbl>
    <w:p w14:paraId="1E459696" w14:textId="5FC9786B" w:rsidR="0012388D" w:rsidRDefault="0012388D" w:rsidP="00524A68">
      <w:pPr>
        <w:widowControl/>
        <w:rPr>
          <w:rFonts w:cs="Arial"/>
        </w:rPr>
      </w:pPr>
      <w:bookmarkStart w:id="163" w:name="_GoBack"/>
      <w:bookmarkEnd w:id="156"/>
      <w:bookmarkEnd w:id="157"/>
      <w:bookmarkEnd w:id="158"/>
      <w:bookmarkEnd w:id="159"/>
      <w:bookmarkEnd w:id="160"/>
      <w:bookmarkEnd w:id="161"/>
      <w:bookmarkEnd w:id="162"/>
      <w:bookmarkEnd w:id="163"/>
    </w:p>
    <w:sectPr w:rsidR="0012388D" w:rsidSect="00EB576F">
      <w:footerReference w:type="default" r:id="rId24"/>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376CE3" w14:textId="77777777" w:rsidR="00D776BC" w:rsidRDefault="00D776BC">
      <w:r>
        <w:separator/>
      </w:r>
    </w:p>
    <w:p w14:paraId="29590FAA" w14:textId="77777777" w:rsidR="00D776BC" w:rsidRDefault="00D776BC"/>
  </w:endnote>
  <w:endnote w:type="continuationSeparator" w:id="0">
    <w:p w14:paraId="10590DA5" w14:textId="77777777" w:rsidR="00D776BC" w:rsidRDefault="00D776BC">
      <w:r>
        <w:continuationSeparator/>
      </w:r>
    </w:p>
    <w:p w14:paraId="436D3255" w14:textId="77777777" w:rsidR="00D776BC" w:rsidRDefault="00D776BC"/>
  </w:endnote>
  <w:endnote w:type="continuationNotice" w:id="1">
    <w:p w14:paraId="1A757A81" w14:textId="77777777" w:rsidR="00D776BC" w:rsidRDefault="00D77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64D5C" w14:textId="77777777" w:rsidR="00D776BC" w:rsidRDefault="00D776B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26B8F" w14:textId="77777777" w:rsidR="00D776BC" w:rsidRDefault="00D7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D78C" w14:textId="44CA1145" w:rsidR="00D776BC" w:rsidRDefault="00D776BC" w:rsidP="00A671E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219989"/>
      <w:docPartObj>
        <w:docPartGallery w:val="Page Numbers (Bottom of Page)"/>
        <w:docPartUnique/>
      </w:docPartObj>
    </w:sdtPr>
    <w:sdtEndPr>
      <w:rPr>
        <w:noProof/>
      </w:rPr>
    </w:sdtEndPr>
    <w:sdtContent>
      <w:p w14:paraId="536FE751" w14:textId="069C2DD2" w:rsidR="00D776BC" w:rsidRDefault="00D776B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4FDC81" w14:textId="77777777" w:rsidR="00D776BC" w:rsidRDefault="00D776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113490"/>
      <w:docPartObj>
        <w:docPartGallery w:val="Page Numbers (Bottom of Page)"/>
        <w:docPartUnique/>
      </w:docPartObj>
    </w:sdtPr>
    <w:sdtEndPr>
      <w:rPr>
        <w:noProof/>
      </w:rPr>
    </w:sdtEndPr>
    <w:sdtContent>
      <w:p w14:paraId="38F68C08" w14:textId="33B2F173" w:rsidR="00D776BC" w:rsidRDefault="00D776BC">
        <w:pPr>
          <w:pStyle w:val="Footer"/>
          <w:jc w:val="right"/>
        </w:pPr>
        <w:r>
          <w:fldChar w:fldCharType="begin"/>
        </w:r>
        <w:r>
          <w:instrText xml:space="preserve"> PAGE   \* MERGEFORMAT </w:instrText>
        </w:r>
        <w:r>
          <w:fldChar w:fldCharType="separate"/>
        </w:r>
        <w:r w:rsidR="00C17206">
          <w:rPr>
            <w:noProof/>
          </w:rPr>
          <w:t>1</w:t>
        </w:r>
        <w:r>
          <w:rPr>
            <w:noProof/>
          </w:rPr>
          <w:fldChar w:fldCharType="end"/>
        </w:r>
      </w:p>
    </w:sdtContent>
  </w:sdt>
  <w:p w14:paraId="53879243" w14:textId="72FC5F36" w:rsidR="00D776BC" w:rsidRDefault="00D776BC" w:rsidP="00A671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271E7" w14:textId="77777777" w:rsidR="00D776BC" w:rsidRDefault="00D776BC">
      <w:r>
        <w:separator/>
      </w:r>
    </w:p>
  </w:footnote>
  <w:footnote w:type="continuationSeparator" w:id="0">
    <w:p w14:paraId="79E65063" w14:textId="77777777" w:rsidR="00D776BC" w:rsidRDefault="00D776BC">
      <w:r>
        <w:continuationSeparator/>
      </w:r>
    </w:p>
  </w:footnote>
  <w:footnote w:type="continuationNotice" w:id="1">
    <w:p w14:paraId="02382FA2" w14:textId="77777777" w:rsidR="00D776BC" w:rsidRDefault="00D776BC"/>
  </w:footnote>
  <w:footnote w:id="2">
    <w:p w14:paraId="2F1B7AAC" w14:textId="0A7361AA" w:rsidR="00D776BC" w:rsidRPr="00C916E3" w:rsidRDefault="00D776BC" w:rsidP="00CA3CAF">
      <w:pPr>
        <w:pStyle w:val="FootnoteText"/>
        <w:rPr>
          <w:sz w:val="18"/>
          <w:szCs w:val="18"/>
          <w:lang w:val="en-AU"/>
        </w:rPr>
      </w:pPr>
      <w:r w:rsidRPr="00C916E3">
        <w:rPr>
          <w:rStyle w:val="FootnoteReference"/>
          <w:sz w:val="18"/>
          <w:szCs w:val="18"/>
        </w:rPr>
        <w:footnoteRef/>
      </w:r>
      <w:hyperlink r:id="rId1" w:history="1">
        <w:r>
          <w:rPr>
            <w:rStyle w:val="Hyperlink"/>
            <w:sz w:val="18"/>
            <w:szCs w:val="18"/>
          </w:rPr>
          <w:t>Policy guidelines</w:t>
        </w:r>
      </w:hyperlink>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2D9BD" w14:textId="77777777" w:rsidR="000A3D16" w:rsidRDefault="000A3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FC2FD" w14:textId="4C67D537" w:rsidR="00D776BC" w:rsidRPr="000A3D16" w:rsidRDefault="00D776BC" w:rsidP="000A3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200B3" w14:textId="77777777" w:rsidR="00D776BC" w:rsidRDefault="00D776B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824EA7"/>
    <w:multiLevelType w:val="hybridMultilevel"/>
    <w:tmpl w:val="E05A72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0BA0642"/>
    <w:multiLevelType w:val="hybridMultilevel"/>
    <w:tmpl w:val="9E52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76161CC"/>
    <w:multiLevelType w:val="hybridMultilevel"/>
    <w:tmpl w:val="3CC85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3"/>
  </w:num>
  <w:num w:numId="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41"/>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5"/>
  </w:num>
  <w:num w:numId="13">
    <w:abstractNumId w:val="40"/>
  </w:num>
  <w:num w:numId="14">
    <w:abstractNumId w:val="27"/>
  </w:num>
  <w:num w:numId="15">
    <w:abstractNumId w:val="39"/>
  </w:num>
  <w:num w:numId="16">
    <w:abstractNumId w:val="12"/>
  </w:num>
  <w:num w:numId="17">
    <w:abstractNumId w:val="3"/>
  </w:num>
  <w:num w:numId="18">
    <w:abstractNumId w:val="0"/>
  </w:num>
  <w:num w:numId="19">
    <w:abstractNumId w:val="30"/>
  </w:num>
  <w:num w:numId="20">
    <w:abstractNumId w:val="9"/>
  </w:num>
  <w:num w:numId="21">
    <w:abstractNumId w:val="44"/>
  </w:num>
  <w:num w:numId="22">
    <w:abstractNumId w:val="38"/>
  </w:num>
  <w:num w:numId="23">
    <w:abstractNumId w:val="14"/>
  </w:num>
  <w:num w:numId="24">
    <w:abstractNumId w:val="16"/>
  </w:num>
  <w:num w:numId="25">
    <w:abstractNumId w:val="36"/>
  </w:num>
  <w:num w:numId="26">
    <w:abstractNumId w:val="36"/>
  </w:num>
  <w:num w:numId="27">
    <w:abstractNumId w:val="26"/>
  </w:num>
  <w:num w:numId="28">
    <w:abstractNumId w:val="31"/>
  </w:num>
  <w:num w:numId="29">
    <w:abstractNumId w:val="32"/>
  </w:num>
  <w:num w:numId="30">
    <w:abstractNumId w:val="20"/>
  </w:num>
  <w:num w:numId="31">
    <w:abstractNumId w:val="18"/>
  </w:num>
  <w:num w:numId="32">
    <w:abstractNumId w:val="2"/>
  </w:num>
  <w:num w:numId="33">
    <w:abstractNumId w:val="10"/>
  </w:num>
  <w:num w:numId="34">
    <w:abstractNumId w:val="5"/>
  </w:num>
  <w:num w:numId="35">
    <w:abstractNumId w:val="28"/>
  </w:num>
  <w:num w:numId="36">
    <w:abstractNumId w:val="25"/>
  </w:num>
  <w:num w:numId="37">
    <w:abstractNumId w:val="8"/>
  </w:num>
  <w:num w:numId="38">
    <w:abstractNumId w:val="42"/>
  </w:num>
  <w:num w:numId="39">
    <w:abstractNumId w:val="19"/>
  </w:num>
  <w:num w:numId="40">
    <w:abstractNumId w:val="33"/>
  </w:num>
  <w:num w:numId="41">
    <w:abstractNumId w:val="13"/>
  </w:num>
  <w:num w:numId="42">
    <w:abstractNumId w:val="35"/>
  </w:num>
  <w:num w:numId="43">
    <w:abstractNumId w:val="17"/>
  </w:num>
  <w:num w:numId="44">
    <w:abstractNumId w:val="23"/>
  </w:num>
  <w:num w:numId="45">
    <w:abstractNumId w:val="21"/>
  </w:num>
  <w:num w:numId="46">
    <w:abstractNumId w:val="11"/>
  </w:num>
  <w:num w:numId="47">
    <w:abstractNumId w:val="22"/>
  </w:num>
  <w:num w:numId="48">
    <w:abstractNumId w:val="34"/>
  </w:num>
  <w:num w:numId="49">
    <w:abstractNumId w:val="37"/>
  </w:num>
  <w:num w:numId="50">
    <w:abstractNumId w:val="4"/>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A92"/>
    <w:rsid w:val="0000247B"/>
    <w:rsid w:val="0000469B"/>
    <w:rsid w:val="00010E79"/>
    <w:rsid w:val="00011187"/>
    <w:rsid w:val="000145AD"/>
    <w:rsid w:val="00014E34"/>
    <w:rsid w:val="00014FB0"/>
    <w:rsid w:val="00027B5F"/>
    <w:rsid w:val="000332AE"/>
    <w:rsid w:val="00035FF3"/>
    <w:rsid w:val="00040499"/>
    <w:rsid w:val="000418F0"/>
    <w:rsid w:val="0004424C"/>
    <w:rsid w:val="00051021"/>
    <w:rsid w:val="000524F0"/>
    <w:rsid w:val="00052D54"/>
    <w:rsid w:val="0005349E"/>
    <w:rsid w:val="00055390"/>
    <w:rsid w:val="000576EB"/>
    <w:rsid w:val="00064B2D"/>
    <w:rsid w:val="00065C3E"/>
    <w:rsid w:val="00065F1F"/>
    <w:rsid w:val="00076D33"/>
    <w:rsid w:val="00076D3B"/>
    <w:rsid w:val="00077859"/>
    <w:rsid w:val="00077AEA"/>
    <w:rsid w:val="00081B0A"/>
    <w:rsid w:val="00097486"/>
    <w:rsid w:val="000977E9"/>
    <w:rsid w:val="000A0E8D"/>
    <w:rsid w:val="000A3D16"/>
    <w:rsid w:val="000A3D8B"/>
    <w:rsid w:val="000A679A"/>
    <w:rsid w:val="000B427A"/>
    <w:rsid w:val="000B5D27"/>
    <w:rsid w:val="000B6AF2"/>
    <w:rsid w:val="000C1F5C"/>
    <w:rsid w:val="000D6FD4"/>
    <w:rsid w:val="000D7B1C"/>
    <w:rsid w:val="000D7E36"/>
    <w:rsid w:val="000E0AE4"/>
    <w:rsid w:val="000E1211"/>
    <w:rsid w:val="000E1EA4"/>
    <w:rsid w:val="000E30B3"/>
    <w:rsid w:val="000E3DBC"/>
    <w:rsid w:val="000E662F"/>
    <w:rsid w:val="000E7462"/>
    <w:rsid w:val="000F3CFE"/>
    <w:rsid w:val="000F6568"/>
    <w:rsid w:val="00102819"/>
    <w:rsid w:val="00104544"/>
    <w:rsid w:val="0010778D"/>
    <w:rsid w:val="001122EC"/>
    <w:rsid w:val="0012388D"/>
    <w:rsid w:val="00136B57"/>
    <w:rsid w:val="00136D57"/>
    <w:rsid w:val="001374A6"/>
    <w:rsid w:val="00150B54"/>
    <w:rsid w:val="0015187A"/>
    <w:rsid w:val="00166305"/>
    <w:rsid w:val="00176C70"/>
    <w:rsid w:val="00182C4C"/>
    <w:rsid w:val="001878C5"/>
    <w:rsid w:val="001935B3"/>
    <w:rsid w:val="0019399D"/>
    <w:rsid w:val="00197D8D"/>
    <w:rsid w:val="001A1A75"/>
    <w:rsid w:val="001A7E9A"/>
    <w:rsid w:val="001B3E14"/>
    <w:rsid w:val="001C27A3"/>
    <w:rsid w:val="001D43F6"/>
    <w:rsid w:val="001E09FA"/>
    <w:rsid w:val="001F05CB"/>
    <w:rsid w:val="001F7F63"/>
    <w:rsid w:val="00202A6F"/>
    <w:rsid w:val="00221668"/>
    <w:rsid w:val="0022197C"/>
    <w:rsid w:val="00221D07"/>
    <w:rsid w:val="002227C2"/>
    <w:rsid w:val="00224E3B"/>
    <w:rsid w:val="00227E4A"/>
    <w:rsid w:val="00230B05"/>
    <w:rsid w:val="002325C1"/>
    <w:rsid w:val="002376AA"/>
    <w:rsid w:val="002421C1"/>
    <w:rsid w:val="00250197"/>
    <w:rsid w:val="002545DB"/>
    <w:rsid w:val="0026387E"/>
    <w:rsid w:val="00263C3B"/>
    <w:rsid w:val="00266491"/>
    <w:rsid w:val="00271B86"/>
    <w:rsid w:val="002758A0"/>
    <w:rsid w:val="00286DF4"/>
    <w:rsid w:val="00287A9A"/>
    <w:rsid w:val="00290483"/>
    <w:rsid w:val="0029204E"/>
    <w:rsid w:val="00292B9B"/>
    <w:rsid w:val="002A0194"/>
    <w:rsid w:val="002A5F8B"/>
    <w:rsid w:val="002A7F6C"/>
    <w:rsid w:val="002B0071"/>
    <w:rsid w:val="002B24DC"/>
    <w:rsid w:val="002C1882"/>
    <w:rsid w:val="002C1A3B"/>
    <w:rsid w:val="002E16D5"/>
    <w:rsid w:val="002E1820"/>
    <w:rsid w:val="002E1CC2"/>
    <w:rsid w:val="002F35EA"/>
    <w:rsid w:val="002F6488"/>
    <w:rsid w:val="00305C54"/>
    <w:rsid w:val="0031016C"/>
    <w:rsid w:val="003129AF"/>
    <w:rsid w:val="003130E0"/>
    <w:rsid w:val="00313983"/>
    <w:rsid w:val="0031426B"/>
    <w:rsid w:val="003213F9"/>
    <w:rsid w:val="00323AB6"/>
    <w:rsid w:val="00323DBF"/>
    <w:rsid w:val="00327867"/>
    <w:rsid w:val="0032789C"/>
    <w:rsid w:val="00332B12"/>
    <w:rsid w:val="00337CBC"/>
    <w:rsid w:val="0034205B"/>
    <w:rsid w:val="003428FC"/>
    <w:rsid w:val="00346622"/>
    <w:rsid w:val="003507DB"/>
    <w:rsid w:val="00351B07"/>
    <w:rsid w:val="00362CBC"/>
    <w:rsid w:val="00363325"/>
    <w:rsid w:val="0036533D"/>
    <w:rsid w:val="00370467"/>
    <w:rsid w:val="00371B29"/>
    <w:rsid w:val="00372CB0"/>
    <w:rsid w:val="003742CC"/>
    <w:rsid w:val="003766F8"/>
    <w:rsid w:val="00377DB5"/>
    <w:rsid w:val="00380106"/>
    <w:rsid w:val="003814F0"/>
    <w:rsid w:val="00381E07"/>
    <w:rsid w:val="00385788"/>
    <w:rsid w:val="003915A3"/>
    <w:rsid w:val="00391769"/>
    <w:rsid w:val="003953E1"/>
    <w:rsid w:val="003956B3"/>
    <w:rsid w:val="003A0A4D"/>
    <w:rsid w:val="003A3D30"/>
    <w:rsid w:val="003A68BE"/>
    <w:rsid w:val="003A7B84"/>
    <w:rsid w:val="003C1B73"/>
    <w:rsid w:val="003C2145"/>
    <w:rsid w:val="003C4969"/>
    <w:rsid w:val="003D2CDC"/>
    <w:rsid w:val="003D3A2C"/>
    <w:rsid w:val="003E17DD"/>
    <w:rsid w:val="003E41D5"/>
    <w:rsid w:val="003E46BA"/>
    <w:rsid w:val="003F74C1"/>
    <w:rsid w:val="00401ADE"/>
    <w:rsid w:val="00405B1A"/>
    <w:rsid w:val="00410C76"/>
    <w:rsid w:val="00411907"/>
    <w:rsid w:val="00413430"/>
    <w:rsid w:val="00413FBD"/>
    <w:rsid w:val="0041690B"/>
    <w:rsid w:val="00417EE3"/>
    <w:rsid w:val="004207EB"/>
    <w:rsid w:val="00420958"/>
    <w:rsid w:val="00421730"/>
    <w:rsid w:val="00422EC9"/>
    <w:rsid w:val="00423AC7"/>
    <w:rsid w:val="00432A42"/>
    <w:rsid w:val="00437276"/>
    <w:rsid w:val="00450FA9"/>
    <w:rsid w:val="00453646"/>
    <w:rsid w:val="00456B54"/>
    <w:rsid w:val="00456BD5"/>
    <w:rsid w:val="004612C1"/>
    <w:rsid w:val="00464643"/>
    <w:rsid w:val="00464909"/>
    <w:rsid w:val="00486793"/>
    <w:rsid w:val="00486C66"/>
    <w:rsid w:val="00494A3F"/>
    <w:rsid w:val="004A2037"/>
    <w:rsid w:val="004A4763"/>
    <w:rsid w:val="004A793C"/>
    <w:rsid w:val="004B047B"/>
    <w:rsid w:val="004B3008"/>
    <w:rsid w:val="004B4CDC"/>
    <w:rsid w:val="004C05D7"/>
    <w:rsid w:val="004C5694"/>
    <w:rsid w:val="004D121E"/>
    <w:rsid w:val="004D1B1C"/>
    <w:rsid w:val="004F4F98"/>
    <w:rsid w:val="004F69F6"/>
    <w:rsid w:val="004F758F"/>
    <w:rsid w:val="004F7888"/>
    <w:rsid w:val="004F79AC"/>
    <w:rsid w:val="00506E9B"/>
    <w:rsid w:val="005207D8"/>
    <w:rsid w:val="00523930"/>
    <w:rsid w:val="005244F1"/>
    <w:rsid w:val="0052493D"/>
    <w:rsid w:val="00524A68"/>
    <w:rsid w:val="0052500C"/>
    <w:rsid w:val="00535182"/>
    <w:rsid w:val="00537CDC"/>
    <w:rsid w:val="00552227"/>
    <w:rsid w:val="00554951"/>
    <w:rsid w:val="00560185"/>
    <w:rsid w:val="00562917"/>
    <w:rsid w:val="00566175"/>
    <w:rsid w:val="00571B8C"/>
    <w:rsid w:val="00580DDF"/>
    <w:rsid w:val="005811B7"/>
    <w:rsid w:val="00586228"/>
    <w:rsid w:val="005946D3"/>
    <w:rsid w:val="00596289"/>
    <w:rsid w:val="00597631"/>
    <w:rsid w:val="005A572E"/>
    <w:rsid w:val="005B084E"/>
    <w:rsid w:val="005B6AF4"/>
    <w:rsid w:val="005C04CB"/>
    <w:rsid w:val="005C2209"/>
    <w:rsid w:val="005C29E4"/>
    <w:rsid w:val="005D16AD"/>
    <w:rsid w:val="005D2016"/>
    <w:rsid w:val="005D356B"/>
    <w:rsid w:val="005D5D83"/>
    <w:rsid w:val="005D72E1"/>
    <w:rsid w:val="005E06C0"/>
    <w:rsid w:val="005E58D3"/>
    <w:rsid w:val="005E6E16"/>
    <w:rsid w:val="005F400E"/>
    <w:rsid w:val="005F7342"/>
    <w:rsid w:val="00601829"/>
    <w:rsid w:val="00610A3C"/>
    <w:rsid w:val="00613822"/>
    <w:rsid w:val="006138D7"/>
    <w:rsid w:val="00615E83"/>
    <w:rsid w:val="00616017"/>
    <w:rsid w:val="00620B2C"/>
    <w:rsid w:val="00621922"/>
    <w:rsid w:val="00623CC0"/>
    <w:rsid w:val="00627F48"/>
    <w:rsid w:val="0063455F"/>
    <w:rsid w:val="00635814"/>
    <w:rsid w:val="00652906"/>
    <w:rsid w:val="00656EDF"/>
    <w:rsid w:val="00663A18"/>
    <w:rsid w:val="00663FCF"/>
    <w:rsid w:val="006652A2"/>
    <w:rsid w:val="006727C2"/>
    <w:rsid w:val="00673091"/>
    <w:rsid w:val="00673965"/>
    <w:rsid w:val="006826F1"/>
    <w:rsid w:val="00682EE4"/>
    <w:rsid w:val="00683071"/>
    <w:rsid w:val="006921E6"/>
    <w:rsid w:val="00692490"/>
    <w:rsid w:val="006969CC"/>
    <w:rsid w:val="00696A15"/>
    <w:rsid w:val="00696D8E"/>
    <w:rsid w:val="006A48A7"/>
    <w:rsid w:val="006A5D40"/>
    <w:rsid w:val="006B428E"/>
    <w:rsid w:val="006B4763"/>
    <w:rsid w:val="006B6E81"/>
    <w:rsid w:val="006C116D"/>
    <w:rsid w:val="006C22A7"/>
    <w:rsid w:val="006C2BC8"/>
    <w:rsid w:val="006C5CF5"/>
    <w:rsid w:val="006D33FF"/>
    <w:rsid w:val="006E10A1"/>
    <w:rsid w:val="006F0DBF"/>
    <w:rsid w:val="006F4A82"/>
    <w:rsid w:val="007024A6"/>
    <w:rsid w:val="007072CA"/>
    <w:rsid w:val="00710C37"/>
    <w:rsid w:val="00714197"/>
    <w:rsid w:val="00724FA4"/>
    <w:rsid w:val="00730800"/>
    <w:rsid w:val="00755F02"/>
    <w:rsid w:val="007602AA"/>
    <w:rsid w:val="00760844"/>
    <w:rsid w:val="007652EF"/>
    <w:rsid w:val="00765DE1"/>
    <w:rsid w:val="007700C8"/>
    <w:rsid w:val="00772BDC"/>
    <w:rsid w:val="00777308"/>
    <w:rsid w:val="00777437"/>
    <w:rsid w:val="00780792"/>
    <w:rsid w:val="0078309E"/>
    <w:rsid w:val="00793E25"/>
    <w:rsid w:val="007954B7"/>
    <w:rsid w:val="00795D86"/>
    <w:rsid w:val="00797612"/>
    <w:rsid w:val="007A44B4"/>
    <w:rsid w:val="007A53BF"/>
    <w:rsid w:val="007A7D3D"/>
    <w:rsid w:val="007B225D"/>
    <w:rsid w:val="007B37B3"/>
    <w:rsid w:val="007B7937"/>
    <w:rsid w:val="007C1C64"/>
    <w:rsid w:val="007C22CB"/>
    <w:rsid w:val="007D0189"/>
    <w:rsid w:val="007D0C2D"/>
    <w:rsid w:val="007D4C09"/>
    <w:rsid w:val="007E48BC"/>
    <w:rsid w:val="007E79F7"/>
    <w:rsid w:val="007F1BB1"/>
    <w:rsid w:val="007F3630"/>
    <w:rsid w:val="007F3F13"/>
    <w:rsid w:val="007F7BF7"/>
    <w:rsid w:val="00801224"/>
    <w:rsid w:val="00805032"/>
    <w:rsid w:val="00807417"/>
    <w:rsid w:val="00807559"/>
    <w:rsid w:val="008116E7"/>
    <w:rsid w:val="00813464"/>
    <w:rsid w:val="0081598F"/>
    <w:rsid w:val="00822879"/>
    <w:rsid w:val="00831154"/>
    <w:rsid w:val="0084149D"/>
    <w:rsid w:val="008450BC"/>
    <w:rsid w:val="00847066"/>
    <w:rsid w:val="00850B09"/>
    <w:rsid w:val="00852BC2"/>
    <w:rsid w:val="0085334B"/>
    <w:rsid w:val="008537BA"/>
    <w:rsid w:val="00853B61"/>
    <w:rsid w:val="00856712"/>
    <w:rsid w:val="00860808"/>
    <w:rsid w:val="00861C13"/>
    <w:rsid w:val="00862349"/>
    <w:rsid w:val="0086571E"/>
    <w:rsid w:val="00870214"/>
    <w:rsid w:val="00871116"/>
    <w:rsid w:val="00885C51"/>
    <w:rsid w:val="00895462"/>
    <w:rsid w:val="00896B85"/>
    <w:rsid w:val="008A243D"/>
    <w:rsid w:val="008A6A3F"/>
    <w:rsid w:val="008B7C8B"/>
    <w:rsid w:val="008C4E76"/>
    <w:rsid w:val="008D06C6"/>
    <w:rsid w:val="008D5E9D"/>
    <w:rsid w:val="008E5407"/>
    <w:rsid w:val="008E6250"/>
    <w:rsid w:val="009106EA"/>
    <w:rsid w:val="009111BE"/>
    <w:rsid w:val="00917C6F"/>
    <w:rsid w:val="00920249"/>
    <w:rsid w:val="00932E77"/>
    <w:rsid w:val="00932F14"/>
    <w:rsid w:val="00935FB5"/>
    <w:rsid w:val="00941914"/>
    <w:rsid w:val="0094247F"/>
    <w:rsid w:val="00942D60"/>
    <w:rsid w:val="0094358A"/>
    <w:rsid w:val="009451C8"/>
    <w:rsid w:val="00945724"/>
    <w:rsid w:val="009460FA"/>
    <w:rsid w:val="00947534"/>
    <w:rsid w:val="009476B3"/>
    <w:rsid w:val="009478A1"/>
    <w:rsid w:val="0095167F"/>
    <w:rsid w:val="00955E1D"/>
    <w:rsid w:val="009571B9"/>
    <w:rsid w:val="0096523B"/>
    <w:rsid w:val="00967E12"/>
    <w:rsid w:val="00972D06"/>
    <w:rsid w:val="0097463B"/>
    <w:rsid w:val="00983FAE"/>
    <w:rsid w:val="0099323D"/>
    <w:rsid w:val="0099623A"/>
    <w:rsid w:val="009A2699"/>
    <w:rsid w:val="009A2DC9"/>
    <w:rsid w:val="009A391C"/>
    <w:rsid w:val="009B2DD1"/>
    <w:rsid w:val="009C74B1"/>
    <w:rsid w:val="009D332B"/>
    <w:rsid w:val="009E0A61"/>
    <w:rsid w:val="009E3010"/>
    <w:rsid w:val="009E31A7"/>
    <w:rsid w:val="009E46F5"/>
    <w:rsid w:val="009F2959"/>
    <w:rsid w:val="009F683D"/>
    <w:rsid w:val="009F6C3C"/>
    <w:rsid w:val="009F7065"/>
    <w:rsid w:val="00A02F3D"/>
    <w:rsid w:val="00A06305"/>
    <w:rsid w:val="00A12D19"/>
    <w:rsid w:val="00A13636"/>
    <w:rsid w:val="00A171F5"/>
    <w:rsid w:val="00A2449C"/>
    <w:rsid w:val="00A254E2"/>
    <w:rsid w:val="00A318EB"/>
    <w:rsid w:val="00A3767B"/>
    <w:rsid w:val="00A551B9"/>
    <w:rsid w:val="00A56DC7"/>
    <w:rsid w:val="00A57FCD"/>
    <w:rsid w:val="00A61B9C"/>
    <w:rsid w:val="00A66FDD"/>
    <w:rsid w:val="00A671E6"/>
    <w:rsid w:val="00A709E5"/>
    <w:rsid w:val="00A725FD"/>
    <w:rsid w:val="00A74799"/>
    <w:rsid w:val="00A74FD1"/>
    <w:rsid w:val="00A84A58"/>
    <w:rsid w:val="00A929A9"/>
    <w:rsid w:val="00A96594"/>
    <w:rsid w:val="00AA41BA"/>
    <w:rsid w:val="00AA6D0D"/>
    <w:rsid w:val="00AA6FA3"/>
    <w:rsid w:val="00AA7012"/>
    <w:rsid w:val="00AC428E"/>
    <w:rsid w:val="00AD344F"/>
    <w:rsid w:val="00AE4FEC"/>
    <w:rsid w:val="00AE4FFD"/>
    <w:rsid w:val="00AF24FA"/>
    <w:rsid w:val="00AF387F"/>
    <w:rsid w:val="00AF397D"/>
    <w:rsid w:val="00B00E7F"/>
    <w:rsid w:val="00B17112"/>
    <w:rsid w:val="00B21055"/>
    <w:rsid w:val="00B21DCC"/>
    <w:rsid w:val="00B25F37"/>
    <w:rsid w:val="00B37158"/>
    <w:rsid w:val="00B425AA"/>
    <w:rsid w:val="00B44422"/>
    <w:rsid w:val="00B45526"/>
    <w:rsid w:val="00B46EA0"/>
    <w:rsid w:val="00B55714"/>
    <w:rsid w:val="00B63BBA"/>
    <w:rsid w:val="00B731D3"/>
    <w:rsid w:val="00B74380"/>
    <w:rsid w:val="00B75B57"/>
    <w:rsid w:val="00B77C18"/>
    <w:rsid w:val="00B811B3"/>
    <w:rsid w:val="00B839A3"/>
    <w:rsid w:val="00B902BD"/>
    <w:rsid w:val="00B92501"/>
    <w:rsid w:val="00BA1009"/>
    <w:rsid w:val="00BB0EC9"/>
    <w:rsid w:val="00BC4F43"/>
    <w:rsid w:val="00BD2A39"/>
    <w:rsid w:val="00BD2E80"/>
    <w:rsid w:val="00BD49FF"/>
    <w:rsid w:val="00BD4B64"/>
    <w:rsid w:val="00BD77E1"/>
    <w:rsid w:val="00BE11B8"/>
    <w:rsid w:val="00BE5193"/>
    <w:rsid w:val="00BF45A3"/>
    <w:rsid w:val="00BF7FF0"/>
    <w:rsid w:val="00C0205E"/>
    <w:rsid w:val="00C11AEA"/>
    <w:rsid w:val="00C12502"/>
    <w:rsid w:val="00C16731"/>
    <w:rsid w:val="00C17206"/>
    <w:rsid w:val="00C26B3B"/>
    <w:rsid w:val="00C40AA5"/>
    <w:rsid w:val="00C40B78"/>
    <w:rsid w:val="00C46F70"/>
    <w:rsid w:val="00C476D0"/>
    <w:rsid w:val="00C6368C"/>
    <w:rsid w:val="00C6434A"/>
    <w:rsid w:val="00C64555"/>
    <w:rsid w:val="00C6765C"/>
    <w:rsid w:val="00C67FB2"/>
    <w:rsid w:val="00C73423"/>
    <w:rsid w:val="00C74398"/>
    <w:rsid w:val="00C74E73"/>
    <w:rsid w:val="00C830B9"/>
    <w:rsid w:val="00C836E3"/>
    <w:rsid w:val="00C836FF"/>
    <w:rsid w:val="00C83984"/>
    <w:rsid w:val="00C854DC"/>
    <w:rsid w:val="00C86577"/>
    <w:rsid w:val="00C91C02"/>
    <w:rsid w:val="00C92E07"/>
    <w:rsid w:val="00C939F8"/>
    <w:rsid w:val="00C94CBE"/>
    <w:rsid w:val="00C96868"/>
    <w:rsid w:val="00CA0416"/>
    <w:rsid w:val="00CA3CAF"/>
    <w:rsid w:val="00CA5734"/>
    <w:rsid w:val="00CB115C"/>
    <w:rsid w:val="00CC3764"/>
    <w:rsid w:val="00CC3A35"/>
    <w:rsid w:val="00CC5468"/>
    <w:rsid w:val="00CC560B"/>
    <w:rsid w:val="00CC75E2"/>
    <w:rsid w:val="00CD46EB"/>
    <w:rsid w:val="00CD57ED"/>
    <w:rsid w:val="00CD7EBF"/>
    <w:rsid w:val="00CE59AA"/>
    <w:rsid w:val="00CF0E86"/>
    <w:rsid w:val="00CF436C"/>
    <w:rsid w:val="00D00DFA"/>
    <w:rsid w:val="00D028BC"/>
    <w:rsid w:val="00D056F1"/>
    <w:rsid w:val="00D06616"/>
    <w:rsid w:val="00D133D8"/>
    <w:rsid w:val="00D144D7"/>
    <w:rsid w:val="00D15A08"/>
    <w:rsid w:val="00D23DB6"/>
    <w:rsid w:val="00D34B03"/>
    <w:rsid w:val="00D34C07"/>
    <w:rsid w:val="00D51A95"/>
    <w:rsid w:val="00D53F00"/>
    <w:rsid w:val="00D60568"/>
    <w:rsid w:val="00D70C7A"/>
    <w:rsid w:val="00D72A29"/>
    <w:rsid w:val="00D776BC"/>
    <w:rsid w:val="00D81BC5"/>
    <w:rsid w:val="00D834E5"/>
    <w:rsid w:val="00D84848"/>
    <w:rsid w:val="00D90833"/>
    <w:rsid w:val="00D9088F"/>
    <w:rsid w:val="00D96C9C"/>
    <w:rsid w:val="00DA10A8"/>
    <w:rsid w:val="00DA5673"/>
    <w:rsid w:val="00DB123A"/>
    <w:rsid w:val="00DB1E08"/>
    <w:rsid w:val="00DB2973"/>
    <w:rsid w:val="00DB6876"/>
    <w:rsid w:val="00DC0FBA"/>
    <w:rsid w:val="00DC1B56"/>
    <w:rsid w:val="00DC1C2C"/>
    <w:rsid w:val="00DC20CC"/>
    <w:rsid w:val="00DC2129"/>
    <w:rsid w:val="00DC6570"/>
    <w:rsid w:val="00DD265C"/>
    <w:rsid w:val="00DD3703"/>
    <w:rsid w:val="00DD68C7"/>
    <w:rsid w:val="00DE517C"/>
    <w:rsid w:val="00DE5528"/>
    <w:rsid w:val="00DE5A86"/>
    <w:rsid w:val="00DF25C3"/>
    <w:rsid w:val="00DF5CFF"/>
    <w:rsid w:val="00DF72BB"/>
    <w:rsid w:val="00E04062"/>
    <w:rsid w:val="00E063C6"/>
    <w:rsid w:val="00E0654D"/>
    <w:rsid w:val="00E10A46"/>
    <w:rsid w:val="00E2003B"/>
    <w:rsid w:val="00E23C44"/>
    <w:rsid w:val="00E26887"/>
    <w:rsid w:val="00E2733C"/>
    <w:rsid w:val="00E279D8"/>
    <w:rsid w:val="00E30092"/>
    <w:rsid w:val="00E319B1"/>
    <w:rsid w:val="00E327A6"/>
    <w:rsid w:val="00E3684F"/>
    <w:rsid w:val="00E4265A"/>
    <w:rsid w:val="00E47D3B"/>
    <w:rsid w:val="00E50596"/>
    <w:rsid w:val="00E5465B"/>
    <w:rsid w:val="00E5492F"/>
    <w:rsid w:val="00E54BD8"/>
    <w:rsid w:val="00E572B1"/>
    <w:rsid w:val="00E6369A"/>
    <w:rsid w:val="00E649C8"/>
    <w:rsid w:val="00E70A86"/>
    <w:rsid w:val="00E72871"/>
    <w:rsid w:val="00E73E50"/>
    <w:rsid w:val="00E777EC"/>
    <w:rsid w:val="00E80FCD"/>
    <w:rsid w:val="00E8466C"/>
    <w:rsid w:val="00E92E6F"/>
    <w:rsid w:val="00E94EA8"/>
    <w:rsid w:val="00EA0369"/>
    <w:rsid w:val="00EA2226"/>
    <w:rsid w:val="00EA7DB0"/>
    <w:rsid w:val="00EA7F2F"/>
    <w:rsid w:val="00EB04CB"/>
    <w:rsid w:val="00EB576F"/>
    <w:rsid w:val="00EB6590"/>
    <w:rsid w:val="00EB6B71"/>
    <w:rsid w:val="00EC00DE"/>
    <w:rsid w:val="00EC21DF"/>
    <w:rsid w:val="00EC30E1"/>
    <w:rsid w:val="00EC3436"/>
    <w:rsid w:val="00EC3B70"/>
    <w:rsid w:val="00EC5FF5"/>
    <w:rsid w:val="00EC66BB"/>
    <w:rsid w:val="00EC7F59"/>
    <w:rsid w:val="00ED172A"/>
    <w:rsid w:val="00EE01DC"/>
    <w:rsid w:val="00F013C9"/>
    <w:rsid w:val="00F01977"/>
    <w:rsid w:val="00F14AB3"/>
    <w:rsid w:val="00F14BEC"/>
    <w:rsid w:val="00F224B7"/>
    <w:rsid w:val="00F225C5"/>
    <w:rsid w:val="00F226CE"/>
    <w:rsid w:val="00F24222"/>
    <w:rsid w:val="00F2587A"/>
    <w:rsid w:val="00F31C8D"/>
    <w:rsid w:val="00F31F87"/>
    <w:rsid w:val="00F33470"/>
    <w:rsid w:val="00F34E02"/>
    <w:rsid w:val="00F36949"/>
    <w:rsid w:val="00F3715D"/>
    <w:rsid w:val="00F37A10"/>
    <w:rsid w:val="00F37CE1"/>
    <w:rsid w:val="00F40DA0"/>
    <w:rsid w:val="00F420C8"/>
    <w:rsid w:val="00F42A4C"/>
    <w:rsid w:val="00F45B17"/>
    <w:rsid w:val="00F526BD"/>
    <w:rsid w:val="00F634A1"/>
    <w:rsid w:val="00F64FF2"/>
    <w:rsid w:val="00F671AF"/>
    <w:rsid w:val="00F83BA3"/>
    <w:rsid w:val="00F90770"/>
    <w:rsid w:val="00F90983"/>
    <w:rsid w:val="00FB7512"/>
    <w:rsid w:val="00FC0AA5"/>
    <w:rsid w:val="00FD43DC"/>
    <w:rsid w:val="00FD7547"/>
    <w:rsid w:val="00FE1920"/>
    <w:rsid w:val="00FE287B"/>
    <w:rsid w:val="00FE4816"/>
    <w:rsid w:val="00FE6B50"/>
    <w:rsid w:val="00FF1B03"/>
    <w:rsid w:val="00FF22C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D3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2789C"/>
    <w:pPr>
      <w:ind w:left="720"/>
      <w:contextualSpacing/>
    </w:pPr>
  </w:style>
  <w:style w:type="table" w:customStyle="1" w:styleId="TableGrid4">
    <w:name w:val="Table Grid4"/>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3"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uiPriority w:val="3"/>
    <w:rsid w:val="00616017"/>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32789C"/>
    <w:pPr>
      <w:ind w:left="720"/>
      <w:contextualSpacing/>
    </w:pPr>
  </w:style>
  <w:style w:type="table" w:customStyle="1" w:styleId="TableGrid4">
    <w:name w:val="Table Grid4"/>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rsid w:val="00CA3CA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9E31A7"/>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687366915">
      <w:bodyDiv w:val="1"/>
      <w:marLeft w:val="0"/>
      <w:marRight w:val="0"/>
      <w:marTop w:val="0"/>
      <w:marBottom w:val="0"/>
      <w:divBdr>
        <w:top w:val="none" w:sz="0" w:space="0" w:color="auto"/>
        <w:left w:val="none" w:sz="0" w:space="0" w:color="auto"/>
        <w:bottom w:val="none" w:sz="0" w:space="0" w:color="auto"/>
        <w:right w:val="none" w:sz="0" w:space="0" w:color="auto"/>
      </w:divBdr>
      <w:divsChild>
        <w:div w:id="1688827249">
          <w:marLeft w:val="0"/>
          <w:marRight w:val="0"/>
          <w:marTop w:val="0"/>
          <w:marBottom w:val="0"/>
          <w:divBdr>
            <w:top w:val="none" w:sz="0" w:space="0" w:color="auto"/>
            <w:left w:val="none" w:sz="0" w:space="0" w:color="auto"/>
            <w:bottom w:val="none" w:sz="0" w:space="0" w:color="auto"/>
            <w:right w:val="none" w:sz="0" w:space="0" w:color="auto"/>
          </w:divBdr>
          <w:divsChild>
            <w:div w:id="121700535">
              <w:marLeft w:val="0"/>
              <w:marRight w:val="0"/>
              <w:marTop w:val="0"/>
              <w:marBottom w:val="0"/>
              <w:divBdr>
                <w:top w:val="none" w:sz="0" w:space="0" w:color="auto"/>
                <w:left w:val="none" w:sz="0" w:space="0" w:color="auto"/>
                <w:bottom w:val="none" w:sz="0" w:space="0" w:color="auto"/>
                <w:right w:val="none" w:sz="0" w:space="0" w:color="auto"/>
              </w:divBdr>
              <w:divsChild>
                <w:div w:id="760108842">
                  <w:marLeft w:val="0"/>
                  <w:marRight w:val="0"/>
                  <w:marTop w:val="0"/>
                  <w:marBottom w:val="0"/>
                  <w:divBdr>
                    <w:top w:val="none" w:sz="0" w:space="0" w:color="auto"/>
                    <w:left w:val="none" w:sz="0" w:space="0" w:color="auto"/>
                    <w:bottom w:val="none" w:sz="0" w:space="0" w:color="auto"/>
                    <w:right w:val="none" w:sz="0" w:space="0" w:color="auto"/>
                  </w:divBdr>
                  <w:divsChild>
                    <w:div w:id="1924533393">
                      <w:marLeft w:val="0"/>
                      <w:marRight w:val="0"/>
                      <w:marTop w:val="0"/>
                      <w:marBottom w:val="0"/>
                      <w:divBdr>
                        <w:top w:val="none" w:sz="0" w:space="0" w:color="auto"/>
                        <w:left w:val="none" w:sz="0" w:space="0" w:color="auto"/>
                        <w:bottom w:val="none" w:sz="0" w:space="0" w:color="auto"/>
                        <w:right w:val="none" w:sz="0" w:space="0" w:color="auto"/>
                      </w:divBdr>
                      <w:divsChild>
                        <w:div w:id="1941065753">
                          <w:marLeft w:val="0"/>
                          <w:marRight w:val="0"/>
                          <w:marTop w:val="0"/>
                          <w:marBottom w:val="0"/>
                          <w:divBdr>
                            <w:top w:val="none" w:sz="0" w:space="0" w:color="auto"/>
                            <w:left w:val="none" w:sz="0" w:space="0" w:color="auto"/>
                            <w:bottom w:val="none" w:sz="0" w:space="0" w:color="auto"/>
                            <w:right w:val="none" w:sz="0" w:space="0" w:color="auto"/>
                          </w:divBdr>
                          <w:divsChild>
                            <w:div w:id="7147731">
                              <w:marLeft w:val="0"/>
                              <w:marRight w:val="0"/>
                              <w:marTop w:val="0"/>
                              <w:marBottom w:val="0"/>
                              <w:divBdr>
                                <w:top w:val="none" w:sz="0" w:space="0" w:color="auto"/>
                                <w:left w:val="none" w:sz="0" w:space="0" w:color="auto"/>
                                <w:bottom w:val="none" w:sz="0" w:space="0" w:color="auto"/>
                                <w:right w:val="none" w:sz="0" w:space="0" w:color="auto"/>
                              </w:divBdr>
                              <w:divsChild>
                                <w:div w:id="792988776">
                                  <w:marLeft w:val="0"/>
                                  <w:marRight w:val="0"/>
                                  <w:marTop w:val="0"/>
                                  <w:marBottom w:val="0"/>
                                  <w:divBdr>
                                    <w:top w:val="none" w:sz="0" w:space="0" w:color="auto"/>
                                    <w:left w:val="none" w:sz="0" w:space="0" w:color="auto"/>
                                    <w:bottom w:val="none" w:sz="0" w:space="0" w:color="auto"/>
                                    <w:right w:val="none" w:sz="0" w:space="0" w:color="auto"/>
                                  </w:divBdr>
                                  <w:divsChild>
                                    <w:div w:id="1981572234">
                                      <w:marLeft w:val="0"/>
                                      <w:marRight w:val="0"/>
                                      <w:marTop w:val="0"/>
                                      <w:marBottom w:val="0"/>
                                      <w:divBdr>
                                        <w:top w:val="none" w:sz="0" w:space="0" w:color="auto"/>
                                        <w:left w:val="none" w:sz="0" w:space="0" w:color="auto"/>
                                        <w:bottom w:val="none" w:sz="0" w:space="0" w:color="auto"/>
                                        <w:right w:val="none" w:sz="0" w:space="0" w:color="auto"/>
                                      </w:divBdr>
                                      <w:divsChild>
                                        <w:div w:id="1262682422">
                                          <w:marLeft w:val="0"/>
                                          <w:marRight w:val="0"/>
                                          <w:marTop w:val="0"/>
                                          <w:marBottom w:val="0"/>
                                          <w:divBdr>
                                            <w:top w:val="none" w:sz="0" w:space="0" w:color="auto"/>
                                            <w:left w:val="none" w:sz="0" w:space="0" w:color="auto"/>
                                            <w:bottom w:val="none" w:sz="0" w:space="0" w:color="auto"/>
                                            <w:right w:val="none" w:sz="0" w:space="0" w:color="auto"/>
                                          </w:divBdr>
                                          <w:divsChild>
                                            <w:div w:id="1730372527">
                                              <w:marLeft w:val="0"/>
                                              <w:marRight w:val="0"/>
                                              <w:marTop w:val="0"/>
                                              <w:marBottom w:val="0"/>
                                              <w:divBdr>
                                                <w:top w:val="none" w:sz="0" w:space="0" w:color="auto"/>
                                                <w:left w:val="none" w:sz="0" w:space="0" w:color="auto"/>
                                                <w:bottom w:val="none" w:sz="0" w:space="0" w:color="auto"/>
                                                <w:right w:val="none" w:sz="0" w:space="0" w:color="auto"/>
                                              </w:divBdr>
                                              <w:divsChild>
                                                <w:div w:id="1396778156">
                                                  <w:marLeft w:val="0"/>
                                                  <w:marRight w:val="0"/>
                                                  <w:marTop w:val="0"/>
                                                  <w:marBottom w:val="0"/>
                                                  <w:divBdr>
                                                    <w:top w:val="none" w:sz="0" w:space="0" w:color="auto"/>
                                                    <w:left w:val="none" w:sz="0" w:space="0" w:color="auto"/>
                                                    <w:bottom w:val="none" w:sz="0" w:space="0" w:color="auto"/>
                                                    <w:right w:val="none" w:sz="0" w:space="0" w:color="auto"/>
                                                  </w:divBdr>
                                                  <w:divsChild>
                                                    <w:div w:id="1813597101">
                                                      <w:marLeft w:val="0"/>
                                                      <w:marRight w:val="0"/>
                                                      <w:marTop w:val="0"/>
                                                      <w:marBottom w:val="0"/>
                                                      <w:divBdr>
                                                        <w:top w:val="none" w:sz="0" w:space="0" w:color="auto"/>
                                                        <w:left w:val="none" w:sz="0" w:space="0" w:color="auto"/>
                                                        <w:bottom w:val="none" w:sz="0" w:space="0" w:color="auto"/>
                                                        <w:right w:val="none" w:sz="0" w:space="0" w:color="auto"/>
                                                      </w:divBdr>
                                                      <w:divsChild>
                                                        <w:div w:id="12904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9103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foodstandards.gov.au/code/applications/Pages/A1127-ProcessingAidsForWine.aspx"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23" Type="http://schemas.openxmlformats.org/officeDocument/2006/relationships/image" Target="media/image2.png"/><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22" Type="http://schemas.openxmlformats.org/officeDocument/2006/relationships/hyperlink" Target="http://www.foodstandards.gov.au/code/fofr/fofrpolicy/pages/default.aspx" TargetMode="Externa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89B77-09FA-45C4-B81E-B865E9855965}"/>
</file>

<file path=customXml/itemProps2.xml><?xml version="1.0" encoding="utf-8"?>
<ds:datastoreItem xmlns:ds="http://schemas.openxmlformats.org/officeDocument/2006/customXml" ds:itemID="{DF405213-52D9-4AA1-A803-59FF38000804}"/>
</file>

<file path=customXml/itemProps3.xml><?xml version="1.0" encoding="utf-8"?>
<ds:datastoreItem xmlns:ds="http://schemas.openxmlformats.org/officeDocument/2006/customXml" ds:itemID="{EE017563-C6FF-4B66-BA49-9231385A527F}"/>
</file>

<file path=customXml/itemProps4.xml><?xml version="1.0" encoding="utf-8"?>
<ds:datastoreItem xmlns:ds="http://schemas.openxmlformats.org/officeDocument/2006/customXml" ds:itemID="{8D2BCD98-E257-4233-B3E4-650565951C4B}">
  <ds:schemaRefs>
    <ds:schemaRef ds:uri="http://schemas.microsoft.com/sharepoint/events"/>
  </ds:schemaRefs>
</ds:datastoreItem>
</file>

<file path=customXml/itemProps5.xml><?xml version="1.0" encoding="utf-8"?>
<ds:datastoreItem xmlns:ds="http://schemas.openxmlformats.org/officeDocument/2006/customXml" ds:itemID="{B8B4E379-677A-4681-9283-79236BB14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7BC3EA-EDCA-4EB3-917E-3250A4760F10}"/>
</file>

<file path=docProps/app.xml><?xml version="1.0" encoding="utf-8"?>
<Properties xmlns="http://schemas.openxmlformats.org/officeDocument/2006/extended-properties" xmlns:vt="http://schemas.openxmlformats.org/officeDocument/2006/docPropsVTypes">
  <Template>Normal.dotm</Template>
  <TotalTime>2</TotalTime>
  <Pages>18</Pages>
  <Words>5108</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35520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lastModifiedBy>rissas</cp:lastModifiedBy>
  <cp:revision>5</cp:revision>
  <cp:lastPrinted>2017-08-14T06:24:00Z</cp:lastPrinted>
  <dcterms:created xsi:type="dcterms:W3CDTF">2017-07-24T22:44:00Z</dcterms:created>
  <dcterms:modified xsi:type="dcterms:W3CDTF">2017-08-14T06:24:00Z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e475ae76-1163-4e64-96e4-43855e0fb5a8</vt:lpwstr>
  </property>
  <property fmtid="{D5CDD505-2E9C-101B-9397-08002B2CF9AE}" pid="3" name="ContentTypeId">
    <vt:lpwstr>0x010100CB2FFA9FD6109347A9495CD5860AFAE6</vt:lpwstr>
  </property>
  <property fmtid="{D5CDD505-2E9C-101B-9397-08002B2CF9AE}" pid="4" name="DisposalClass">
    <vt:lpwstr/>
  </property>
  <property fmtid="{D5CDD505-2E9C-101B-9397-08002B2CF9AE}" pid="5" name="BCS_">
    <vt:lpwstr>40;#FOOD STANDARDS:Evaluation|43bd8487-b9f6-4055-946c-a118d364275d</vt:lpwstr>
  </property>
  <property fmtid="{D5CDD505-2E9C-101B-9397-08002B2CF9AE}" pid="6" name="_dlc_DocIdItemGuid">
    <vt:lpwstr>3d51649f-6276-4899-a333-f8e413e92fc1</vt:lpwstr>
  </property>
  <property fmtid="{D5CDD505-2E9C-101B-9397-08002B2CF9AE}" pid="7" name="SPPCopyMoveEvent">
    <vt:lpwstr>1</vt:lpwstr>
  </property>
</Properties>
</file>